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bookmarkStart w:id="0" w:name="_GoBack"/>
      <w:bookmarkEnd w:id="0"/>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361B1D" w:rsidRDefault="00361B1D" w:rsidP="005C1903">
      <w:pPr>
        <w:ind w:left="709" w:hanging="349"/>
        <w:jc w:val="center"/>
        <w:outlineLvl w:val="0"/>
        <w:rPr>
          <w:rStyle w:val="Strong"/>
          <w:sz w:val="28"/>
          <w:szCs w:val="28"/>
          <w:lang w:val="en-GB"/>
        </w:rPr>
      </w:pPr>
      <w:r w:rsidRPr="00361B1D">
        <w:rPr>
          <w:rStyle w:val="Strong"/>
          <w:sz w:val="28"/>
          <w:szCs w:val="28"/>
          <w:lang w:val="en-GB"/>
        </w:rPr>
        <w:t>TENDER PROCEDURE FOR EXTERNAL</w:t>
      </w:r>
      <w:r w:rsidR="005C1903">
        <w:rPr>
          <w:rStyle w:val="Strong"/>
          <w:sz w:val="28"/>
          <w:szCs w:val="28"/>
          <w:lang w:val="en-GB"/>
        </w:rPr>
        <w:t xml:space="preserve"> </w:t>
      </w:r>
      <w:r w:rsidRPr="00361B1D">
        <w:rPr>
          <w:rStyle w:val="Strong"/>
          <w:sz w:val="28"/>
          <w:szCs w:val="28"/>
          <w:lang w:val="en-GB"/>
        </w:rPr>
        <w:t>SERVICES</w:t>
      </w:r>
    </w:p>
    <w:p w:rsidR="005C1903" w:rsidRDefault="005C1903" w:rsidP="005C1903">
      <w:pPr>
        <w:ind w:left="709" w:hanging="349"/>
        <w:jc w:val="center"/>
        <w:outlineLvl w:val="0"/>
        <w:rPr>
          <w:rStyle w:val="Strong"/>
          <w:sz w:val="28"/>
          <w:szCs w:val="28"/>
          <w:lang w:val="en-GB"/>
        </w:rPr>
      </w:pPr>
      <w:r>
        <w:rPr>
          <w:rStyle w:val="Strong"/>
          <w:sz w:val="28"/>
          <w:szCs w:val="28"/>
          <w:lang w:val="en-GB"/>
        </w:rPr>
        <w:t>for web development,</w:t>
      </w:r>
      <w:r w:rsidRPr="005C1903">
        <w:t xml:space="preserve"> </w:t>
      </w:r>
      <w:r>
        <w:rPr>
          <w:rStyle w:val="Strong"/>
          <w:sz w:val="28"/>
          <w:szCs w:val="28"/>
          <w:lang w:val="en-GB"/>
        </w:rPr>
        <w:t>w</w:t>
      </w:r>
      <w:r w:rsidRPr="005C1903">
        <w:rPr>
          <w:rStyle w:val="Strong"/>
          <w:sz w:val="28"/>
          <w:szCs w:val="28"/>
          <w:lang w:val="en-GB"/>
        </w:rPr>
        <w:t>ebsite support, service and maintenance</w:t>
      </w:r>
      <w:r>
        <w:rPr>
          <w:rStyle w:val="Strong"/>
          <w:sz w:val="28"/>
          <w:szCs w:val="28"/>
          <w:lang w:val="en-GB"/>
        </w:rPr>
        <w:t xml:space="preserve">, and hosting </w:t>
      </w:r>
      <w:r w:rsidR="00CE1E0C">
        <w:rPr>
          <w:rStyle w:val="Strong"/>
          <w:sz w:val="28"/>
          <w:szCs w:val="28"/>
          <w:lang w:val="en-GB"/>
        </w:rPr>
        <w:t xml:space="preserve">for </w:t>
      </w:r>
      <w:r>
        <w:rPr>
          <w:rStyle w:val="Strong"/>
          <w:sz w:val="28"/>
          <w:szCs w:val="28"/>
          <w:lang w:val="en-GB"/>
        </w:rPr>
        <w:t>STRASS project</w:t>
      </w:r>
    </w:p>
    <w:p w:rsidR="00116EE4" w:rsidRPr="00361B1D" w:rsidRDefault="00116EE4" w:rsidP="00116EE4">
      <w:pPr>
        <w:ind w:left="709" w:hanging="349"/>
        <w:jc w:val="center"/>
        <w:outlineLvl w:val="0"/>
        <w:rPr>
          <w:rStyle w:val="Strong"/>
          <w:sz w:val="28"/>
          <w:szCs w:val="28"/>
          <w:lang w:val="en-GB"/>
        </w:rPr>
      </w:pPr>
    </w:p>
    <w:p w:rsidR="00571687" w:rsidRPr="00B33EE6" w:rsidRDefault="00361B1D" w:rsidP="00116EE4">
      <w:pPr>
        <w:ind w:left="709" w:hanging="349"/>
        <w:jc w:val="center"/>
        <w:outlineLvl w:val="0"/>
        <w:rPr>
          <w:rStyle w:val="Strong"/>
          <w:sz w:val="22"/>
          <w:szCs w:val="22"/>
          <w:lang w:val="en-GB"/>
        </w:rPr>
      </w:pPr>
      <w:r w:rsidRPr="00361B1D">
        <w:rPr>
          <w:rStyle w:val="Strong"/>
          <w:sz w:val="28"/>
          <w:szCs w:val="28"/>
          <w:lang w:val="en-GB"/>
        </w:rPr>
        <w:t>in Skopje, The Republic of North Macedonia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116EE4">
      <w:pPr>
        <w:pStyle w:val="Blockquote"/>
        <w:rPr>
          <w:i/>
          <w:sz w:val="22"/>
          <w:szCs w:val="22"/>
          <w:lang w:val="en-GB"/>
        </w:rPr>
      </w:pPr>
      <w:r>
        <w:rPr>
          <w:rStyle w:val="Emphasis"/>
          <w:i w:val="0"/>
          <w:sz w:val="22"/>
          <w:szCs w:val="22"/>
          <w:lang w:val="en-GB"/>
        </w:rPr>
        <w:t>CN1-S</w:t>
      </w:r>
      <w:r w:rsidR="00767116">
        <w:rPr>
          <w:rStyle w:val="Emphasis"/>
          <w:i w:val="0"/>
          <w:sz w:val="22"/>
          <w:szCs w:val="22"/>
          <w:lang w:val="en-GB"/>
        </w:rPr>
        <w:t>.</w:t>
      </w:r>
      <w:r>
        <w:rPr>
          <w:rStyle w:val="Emphasis"/>
          <w:i w:val="0"/>
          <w:sz w:val="22"/>
          <w:szCs w:val="22"/>
          <w:lang w:val="en-GB"/>
        </w:rPr>
        <w:t>O2.1-SC006/TD3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C867B9">
      <w:pPr>
        <w:pStyle w:val="Blockquote"/>
        <w:ind w:left="0"/>
        <w:jc w:val="both"/>
        <w:rPr>
          <w:sz w:val="22"/>
          <w:szCs w:val="22"/>
          <w:lang w:val="en-GB"/>
        </w:rPr>
      </w:pPr>
      <w:r w:rsidRPr="00116EE4">
        <w:rPr>
          <w:sz w:val="22"/>
          <w:szCs w:val="22"/>
          <w:lang w:val="en-GB"/>
        </w:rPr>
        <w:t xml:space="preserve">   </w:t>
      </w:r>
      <w:r w:rsidR="00116EE4" w:rsidRPr="00116EE4">
        <w:rPr>
          <w:sz w:val="22"/>
          <w:szCs w:val="22"/>
          <w:lang w:val="en-GB"/>
        </w:rPr>
        <w:t xml:space="preserve">    </w:t>
      </w:r>
      <w:r w:rsidRPr="00116EE4">
        <w:rPr>
          <w:sz w:val="22"/>
          <w:szCs w:val="22"/>
          <w:lang w:val="en-GB"/>
        </w:rPr>
        <w:t>Si</w:t>
      </w:r>
      <w:r w:rsidR="00CE1E0C">
        <w:rPr>
          <w:sz w:val="22"/>
          <w:szCs w:val="22"/>
          <w:lang w:val="en-GB"/>
        </w:rPr>
        <w:t>ngle</w:t>
      </w:r>
      <w:r w:rsidR="00116EE4">
        <w:rPr>
          <w:sz w:val="22"/>
          <w:szCs w:val="22"/>
          <w:lang w:val="en-GB"/>
        </w:rPr>
        <w:t xml:space="preserve">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116EE4" w:rsidRDefault="00116EE4" w:rsidP="00116EE4">
      <w:pPr>
        <w:ind w:left="349" w:hanging="349"/>
        <w:outlineLvl w:val="0"/>
        <w:rPr>
          <w:lang w:val="en-GB"/>
        </w:rPr>
      </w:pPr>
      <w:r>
        <w:rPr>
          <w:lang w:val="en-GB"/>
        </w:rPr>
        <w:t xml:space="preserve">      </w:t>
      </w:r>
      <w:r w:rsidRPr="00116EE4">
        <w:rPr>
          <w:lang w:val="en-GB"/>
        </w:rPr>
        <w:t xml:space="preserve">Interreg IPA Cross-border Cooperation Programme “Greece – the Former Yugoslav </w:t>
      </w:r>
      <w:r>
        <w:rPr>
          <w:lang w:val="en-GB"/>
        </w:rPr>
        <w:t xml:space="preserve">  </w:t>
      </w:r>
      <w:r w:rsidRPr="00116EE4">
        <w:rPr>
          <w:lang w:val="en-GB"/>
        </w:rPr>
        <w:t>Republic of Macedonia 2014-2020 “</w:t>
      </w:r>
    </w:p>
    <w:p w:rsidR="006F5FD0" w:rsidRPr="00B33EE6" w:rsidRDefault="00AD78AA" w:rsidP="00116EE4">
      <w:pPr>
        <w:ind w:left="349" w:hanging="349"/>
        <w:outlineLvl w:val="0"/>
        <w:rPr>
          <w:sz w:val="22"/>
          <w:szCs w:val="22"/>
          <w:lang w:val="en-GB"/>
        </w:rPr>
      </w:pPr>
      <w:r>
        <w:rPr>
          <w:rStyle w:val="Strong"/>
          <w:sz w:val="22"/>
          <w:szCs w:val="22"/>
          <w:lang w:val="en-GB"/>
        </w:rPr>
        <w:t xml:space="preserve">       </w:t>
      </w:r>
      <w:r w:rsidR="006F5FD0" w:rsidRPr="00B33EE6">
        <w:rPr>
          <w:rStyle w:val="Strong"/>
          <w:sz w:val="22"/>
          <w:szCs w:val="22"/>
          <w:lang w:val="en-GB"/>
        </w:rPr>
        <w:t xml:space="preserve">4. </w:t>
      </w:r>
      <w:r w:rsidR="00584BF4" w:rsidRPr="00B33EE6">
        <w:rPr>
          <w:rStyle w:val="Strong"/>
          <w:sz w:val="22"/>
          <w:szCs w:val="22"/>
          <w:lang w:val="en-GB"/>
        </w:rPr>
        <w:tab/>
      </w:r>
      <w:r w:rsidR="006F5FD0" w:rsidRPr="00B33EE6">
        <w:rPr>
          <w:rStyle w:val="Strong"/>
          <w:sz w:val="22"/>
          <w:szCs w:val="22"/>
          <w:lang w:val="en-GB"/>
        </w:rPr>
        <w:t>Financing</w:t>
      </w:r>
    </w:p>
    <w:p w:rsidR="00AD78AA" w:rsidRPr="00AD78AA" w:rsidRDefault="00AE127E" w:rsidP="00AE127E">
      <w:pPr>
        <w:ind w:left="349" w:hanging="349"/>
        <w:outlineLvl w:val="0"/>
        <w:rPr>
          <w:rStyle w:val="Emphasis"/>
          <w:i w:val="0"/>
          <w:sz w:val="22"/>
          <w:szCs w:val="22"/>
          <w:lang w:val="en-GB"/>
        </w:rPr>
      </w:pPr>
      <w:r>
        <w:rPr>
          <w:rStyle w:val="Emphasis"/>
          <w:i w:val="0"/>
          <w:sz w:val="22"/>
          <w:szCs w:val="22"/>
          <w:lang w:val="en-GB"/>
        </w:rPr>
        <w:t xml:space="preserve">      </w:t>
      </w:r>
      <w:r w:rsidR="00F36088">
        <w:rPr>
          <w:rStyle w:val="Emphasis"/>
          <w:i w:val="0"/>
          <w:sz w:val="22"/>
          <w:szCs w:val="22"/>
          <w:lang w:val="en-GB"/>
        </w:rPr>
        <w:t xml:space="preserve"> </w:t>
      </w:r>
      <w:r w:rsidR="00AD78AA" w:rsidRPr="00AD78AA">
        <w:rPr>
          <w:rStyle w:val="Emphasis"/>
          <w:i w:val="0"/>
          <w:sz w:val="22"/>
          <w:szCs w:val="22"/>
          <w:lang w:val="en-GB"/>
        </w:rPr>
        <w:t xml:space="preserve">Financed under project “Safe Cross-Border Transportation of Hazardous Materials: Orphan Radioactive Sources” STRASS </w:t>
      </w:r>
    </w:p>
    <w:p w:rsidR="00AD78AA" w:rsidRPr="00AD78AA" w:rsidRDefault="00AD78AA" w:rsidP="00AD78AA">
      <w:pPr>
        <w:ind w:left="709" w:hanging="349"/>
        <w:outlineLvl w:val="0"/>
        <w:rPr>
          <w:rStyle w:val="Emphasis"/>
          <w:i w:val="0"/>
          <w:sz w:val="22"/>
          <w:szCs w:val="22"/>
          <w:lang w:val="en-GB"/>
        </w:rPr>
      </w:pPr>
      <w:r w:rsidRPr="00AD78AA">
        <w:rPr>
          <w:rStyle w:val="Emphasis"/>
          <w:i w:val="0"/>
          <w:sz w:val="22"/>
          <w:szCs w:val="22"/>
          <w:lang w:val="en-GB"/>
        </w:rPr>
        <w:t>Subsidy contract no: SC 006</w:t>
      </w:r>
    </w:p>
    <w:p w:rsidR="00AD78AA" w:rsidRPr="00AD78AA" w:rsidRDefault="00AD78AA" w:rsidP="00AD78AA">
      <w:pPr>
        <w:ind w:left="709" w:hanging="349"/>
        <w:outlineLvl w:val="0"/>
        <w:rPr>
          <w:rStyle w:val="Emphasis"/>
          <w:i w:val="0"/>
          <w:sz w:val="22"/>
          <w:szCs w:val="22"/>
          <w:lang w:val="en-GB"/>
        </w:rPr>
      </w:pPr>
      <w:r w:rsidRPr="00AD78AA">
        <w:rPr>
          <w:rStyle w:val="Emphasis"/>
          <w:i w:val="0"/>
          <w:sz w:val="22"/>
          <w:szCs w:val="22"/>
          <w:lang w:val="en-GB"/>
        </w:rPr>
        <w:t>Budget line: E</w:t>
      </w:r>
      <w:r>
        <w:rPr>
          <w:rStyle w:val="Emphasis"/>
          <w:i w:val="0"/>
          <w:sz w:val="22"/>
          <w:szCs w:val="22"/>
          <w:lang w:val="en-GB"/>
        </w:rPr>
        <w:t>xternal Expertise and Services</w:t>
      </w:r>
      <w:r w:rsidRPr="00AD78AA">
        <w:rPr>
          <w:rStyle w:val="Emphasis"/>
          <w:i w:val="0"/>
          <w:sz w:val="22"/>
          <w:szCs w:val="22"/>
          <w:lang w:val="en-GB"/>
        </w:rPr>
        <w:t xml:space="preserve"> </w:t>
      </w:r>
    </w:p>
    <w:p w:rsidR="00AD78AA" w:rsidRDefault="00AD78AA" w:rsidP="00AD78AA">
      <w:pPr>
        <w:ind w:left="709" w:hanging="349"/>
        <w:outlineLvl w:val="0"/>
        <w:rPr>
          <w:rStyle w:val="Emphasis"/>
          <w:i w:val="0"/>
          <w:sz w:val="22"/>
          <w:szCs w:val="22"/>
          <w:lang w:val="en-GB"/>
        </w:rPr>
      </w:pPr>
      <w:r w:rsidRPr="00AD78AA">
        <w:rPr>
          <w:rStyle w:val="Emphasis"/>
          <w:i w:val="0"/>
          <w:sz w:val="22"/>
          <w:szCs w:val="22"/>
          <w:lang w:val="en-GB"/>
        </w:rPr>
        <w:t>Project is co-funded by the European Union and National Funds of the participating countries.</w:t>
      </w:r>
    </w:p>
    <w:p w:rsidR="006F5FD0" w:rsidRDefault="00AD78AA" w:rsidP="00AD78AA">
      <w:pPr>
        <w:ind w:left="709" w:hanging="349"/>
        <w:outlineLvl w:val="0"/>
        <w:rPr>
          <w:rStyle w:val="Strong"/>
          <w:sz w:val="22"/>
          <w:szCs w:val="22"/>
          <w:lang w:val="en-GB"/>
        </w:rPr>
      </w:pPr>
      <w:r w:rsidRPr="00AD78AA">
        <w:rPr>
          <w:rStyle w:val="Emphasis"/>
          <w:i w:val="0"/>
          <w:sz w:val="22"/>
          <w:szCs w:val="22"/>
          <w:lang w:val="en-GB"/>
        </w:rPr>
        <w:t xml:space="preserve"> </w:t>
      </w:r>
      <w:r w:rsidR="006F5FD0" w:rsidRPr="00B33EE6">
        <w:rPr>
          <w:rStyle w:val="Strong"/>
          <w:sz w:val="22"/>
          <w:szCs w:val="22"/>
          <w:lang w:val="en-GB"/>
        </w:rPr>
        <w:t xml:space="preserve">5. </w:t>
      </w:r>
      <w:r w:rsidR="00584BF4" w:rsidRPr="00B33EE6">
        <w:rPr>
          <w:rStyle w:val="Strong"/>
          <w:sz w:val="22"/>
          <w:szCs w:val="22"/>
          <w:lang w:val="en-GB"/>
        </w:rPr>
        <w:tab/>
      </w:r>
      <w:r w:rsidR="006F5FD0" w:rsidRPr="00B33EE6">
        <w:rPr>
          <w:rStyle w:val="Strong"/>
          <w:sz w:val="22"/>
          <w:szCs w:val="22"/>
          <w:lang w:val="en-GB"/>
        </w:rPr>
        <w:t xml:space="preserve">Contracting </w:t>
      </w:r>
      <w:r w:rsidR="00FE4E4B">
        <w:rPr>
          <w:rStyle w:val="Strong"/>
          <w:sz w:val="22"/>
          <w:szCs w:val="22"/>
          <w:lang w:val="en-GB"/>
        </w:rPr>
        <w:t>a</w:t>
      </w:r>
      <w:r w:rsidR="006F5FD0" w:rsidRPr="00B33EE6">
        <w:rPr>
          <w:rStyle w:val="Strong"/>
          <w:sz w:val="22"/>
          <w:szCs w:val="22"/>
          <w:lang w:val="en-GB"/>
        </w:rPr>
        <w:t>uthority</w:t>
      </w:r>
    </w:p>
    <w:p w:rsidR="00E63365" w:rsidRDefault="007021D5" w:rsidP="00634309">
      <w:pPr>
        <w:spacing w:before="0" w:after="0"/>
        <w:ind w:left="346" w:hanging="346"/>
        <w:outlineLvl w:val="0"/>
        <w:rPr>
          <w:rStyle w:val="Strong"/>
          <w:b w:val="0"/>
          <w:bCs/>
          <w:sz w:val="22"/>
          <w:szCs w:val="22"/>
          <w:lang w:val="en-GB"/>
        </w:rPr>
      </w:pPr>
      <w:r>
        <w:rPr>
          <w:rStyle w:val="Strong"/>
          <w:sz w:val="22"/>
          <w:szCs w:val="22"/>
          <w:lang w:val="en-GB"/>
        </w:rPr>
        <w:t xml:space="preserve">      </w:t>
      </w:r>
      <w:r w:rsidR="00E63365">
        <w:rPr>
          <w:rStyle w:val="Strong"/>
          <w:sz w:val="22"/>
          <w:szCs w:val="22"/>
          <w:lang w:val="en-GB"/>
        </w:rPr>
        <w:t xml:space="preserve"> </w:t>
      </w:r>
      <w:r w:rsidRPr="007021D5">
        <w:rPr>
          <w:rStyle w:val="Strong"/>
          <w:b w:val="0"/>
          <w:bCs/>
          <w:sz w:val="22"/>
          <w:szCs w:val="22"/>
          <w:lang w:val="en-GB"/>
        </w:rPr>
        <w:t xml:space="preserve">Faculty of Mechanical Engineering of Ss Cyril and  Methodius University in Skopje, </w:t>
      </w:r>
    </w:p>
    <w:p w:rsidR="007021D5" w:rsidRPr="007021D5" w:rsidRDefault="00E63365" w:rsidP="00634309">
      <w:pPr>
        <w:spacing w:before="0" w:after="0"/>
        <w:ind w:left="346" w:hanging="346"/>
        <w:outlineLvl w:val="0"/>
        <w:rPr>
          <w:rStyle w:val="Strong"/>
          <w:b w:val="0"/>
          <w:bCs/>
          <w:sz w:val="22"/>
          <w:szCs w:val="22"/>
          <w:lang w:val="en-GB"/>
        </w:rPr>
      </w:pPr>
      <w:r>
        <w:rPr>
          <w:rStyle w:val="Strong"/>
          <w:b w:val="0"/>
          <w:bCs/>
          <w:sz w:val="22"/>
          <w:szCs w:val="22"/>
          <w:lang w:val="en-GB"/>
        </w:rPr>
        <w:t xml:space="preserve">       </w:t>
      </w:r>
      <w:r w:rsidR="007021D5" w:rsidRPr="007021D5">
        <w:rPr>
          <w:rStyle w:val="Strong"/>
          <w:b w:val="0"/>
          <w:bCs/>
          <w:sz w:val="22"/>
          <w:szCs w:val="22"/>
          <w:lang w:val="en-GB"/>
        </w:rPr>
        <w:t>The Republic</w:t>
      </w:r>
      <w:r w:rsidR="007021D5">
        <w:rPr>
          <w:rStyle w:val="Strong"/>
          <w:b w:val="0"/>
          <w:bCs/>
          <w:sz w:val="22"/>
          <w:szCs w:val="22"/>
          <w:lang w:val="en-GB"/>
        </w:rPr>
        <w:t xml:space="preserve"> </w:t>
      </w:r>
      <w:r w:rsidR="007021D5" w:rsidRPr="007021D5">
        <w:rPr>
          <w:rStyle w:val="Strong"/>
          <w:b w:val="0"/>
          <w:bCs/>
          <w:sz w:val="22"/>
          <w:szCs w:val="22"/>
          <w:lang w:val="en-GB"/>
        </w:rPr>
        <w:t>of North Macedonia</w:t>
      </w:r>
    </w:p>
    <w:p w:rsidR="007021D5" w:rsidRPr="007021D5" w:rsidRDefault="007021D5" w:rsidP="00AD78AA">
      <w:pPr>
        <w:ind w:left="709" w:hanging="349"/>
        <w:outlineLvl w:val="0"/>
        <w:rPr>
          <w:rStyle w:val="Strong"/>
          <w:b w:val="0"/>
          <w:bCs/>
          <w:sz w:val="22"/>
          <w:szCs w:val="22"/>
          <w:lang w:val="en-GB"/>
        </w:rPr>
      </w:pPr>
    </w:p>
    <w:p w:rsidR="007021D5" w:rsidRPr="00B33EE6" w:rsidRDefault="007021D5" w:rsidP="00AD78AA">
      <w:pPr>
        <w:ind w:left="709" w:hanging="349"/>
        <w:outlineLvl w:val="0"/>
        <w:rPr>
          <w:sz w:val="22"/>
          <w:szCs w:val="22"/>
          <w:lang w:val="en-GB"/>
        </w:rPr>
      </w:pP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4A7544">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D1745B" w:rsidRDefault="00D20D3A" w:rsidP="00D1745B">
      <w:pPr>
        <w:ind w:left="349" w:hanging="349"/>
        <w:jc w:val="both"/>
        <w:outlineLvl w:val="0"/>
        <w:rPr>
          <w:rStyle w:val="Emphasis"/>
          <w:i w:val="0"/>
          <w:sz w:val="22"/>
          <w:szCs w:val="22"/>
          <w:lang w:val="en-GB"/>
        </w:rPr>
      </w:pPr>
      <w:r>
        <w:rPr>
          <w:rStyle w:val="Emphasis"/>
          <w:i w:val="0"/>
          <w:sz w:val="22"/>
          <w:szCs w:val="22"/>
          <w:lang w:val="en-GB"/>
        </w:rPr>
        <w:t xml:space="preserve">      </w:t>
      </w:r>
      <w:r w:rsidR="004A7544" w:rsidRPr="004A7544">
        <w:rPr>
          <w:rStyle w:val="Emphasis"/>
          <w:i w:val="0"/>
          <w:sz w:val="22"/>
          <w:szCs w:val="22"/>
          <w:lang w:val="en-GB"/>
        </w:rPr>
        <w:t>The current contract will support the Faculty of Mechanical Engineering of Ss Cyril and Methodius University in Skopje in the process of implementation of the project “Safe Cross-Border Transportation of Hazardous Materials: Orphan Radioactive Sources” STRASS, financed under Interreg IPA Cross-border Cooperation Programme “ Greece- the former Yugoslav Republic of Macedonia 2014-2020 “.</w:t>
      </w:r>
      <w:r w:rsidR="004A7544">
        <w:rPr>
          <w:rStyle w:val="Emphasis"/>
          <w:i w:val="0"/>
          <w:sz w:val="22"/>
          <w:szCs w:val="22"/>
          <w:lang w:val="en-GB"/>
        </w:rPr>
        <w:t xml:space="preserve"> </w:t>
      </w:r>
      <w:r w:rsidR="004A7544" w:rsidRPr="004A7544">
        <w:rPr>
          <w:rStyle w:val="Emphasis"/>
          <w:i w:val="0"/>
          <w:sz w:val="22"/>
          <w:szCs w:val="22"/>
          <w:lang w:val="en-GB"/>
        </w:rPr>
        <w:t xml:space="preserve">The purpose of the service contract is the delivery of external </w:t>
      </w:r>
      <w:r w:rsidR="003154FF">
        <w:rPr>
          <w:rStyle w:val="Emphasis"/>
          <w:i w:val="0"/>
          <w:sz w:val="22"/>
          <w:szCs w:val="22"/>
          <w:lang w:val="en-GB"/>
        </w:rPr>
        <w:t xml:space="preserve">IT </w:t>
      </w:r>
      <w:r w:rsidR="004A7544" w:rsidRPr="004A7544">
        <w:rPr>
          <w:rStyle w:val="Emphasis"/>
          <w:i w:val="0"/>
          <w:sz w:val="22"/>
          <w:szCs w:val="22"/>
          <w:lang w:val="en-GB"/>
        </w:rPr>
        <w:t>assistance services to support the objectives of the project (defined as deliverable D</w:t>
      </w:r>
      <w:r w:rsidR="00F95350">
        <w:rPr>
          <w:rStyle w:val="Emphasis"/>
          <w:i w:val="0"/>
          <w:sz w:val="22"/>
          <w:szCs w:val="22"/>
          <w:lang w:val="en-GB"/>
        </w:rPr>
        <w:t>2</w:t>
      </w:r>
      <w:r w:rsidR="004A7544" w:rsidRPr="004A7544">
        <w:rPr>
          <w:rStyle w:val="Emphasis"/>
          <w:i w:val="0"/>
          <w:sz w:val="22"/>
          <w:szCs w:val="22"/>
          <w:lang w:val="en-GB"/>
        </w:rPr>
        <w:t>.</w:t>
      </w:r>
      <w:r w:rsidR="00F95350">
        <w:rPr>
          <w:rStyle w:val="Emphasis"/>
          <w:i w:val="0"/>
          <w:sz w:val="22"/>
          <w:szCs w:val="22"/>
          <w:lang w:val="en-GB"/>
        </w:rPr>
        <w:t>5</w:t>
      </w:r>
      <w:r w:rsidR="004A7544" w:rsidRPr="004A7544">
        <w:rPr>
          <w:rStyle w:val="Emphasis"/>
          <w:i w:val="0"/>
          <w:sz w:val="22"/>
          <w:szCs w:val="22"/>
          <w:lang w:val="en-GB"/>
        </w:rPr>
        <w:t>.1 in the project).</w:t>
      </w:r>
      <w:r w:rsidR="00D1745B">
        <w:rPr>
          <w:rStyle w:val="Emphasis"/>
          <w:i w:val="0"/>
          <w:sz w:val="22"/>
          <w:szCs w:val="22"/>
          <w:lang w:val="en-GB"/>
        </w:rPr>
        <w:t xml:space="preserve"> </w:t>
      </w:r>
    </w:p>
    <w:p w:rsidR="00B42F0D" w:rsidRDefault="00B42F0D" w:rsidP="00D1745B">
      <w:pPr>
        <w:ind w:left="349" w:hanging="349"/>
        <w:jc w:val="both"/>
        <w:outlineLvl w:val="0"/>
        <w:rPr>
          <w:rStyle w:val="Emphasis"/>
          <w:i w:val="0"/>
          <w:sz w:val="22"/>
          <w:szCs w:val="22"/>
          <w:lang w:val="en-GB"/>
        </w:rPr>
      </w:pPr>
      <w:r>
        <w:rPr>
          <w:rStyle w:val="Emphasis"/>
          <w:i w:val="0"/>
          <w:sz w:val="22"/>
          <w:szCs w:val="22"/>
          <w:lang w:val="en-GB"/>
        </w:rPr>
        <w:lastRenderedPageBreak/>
        <w:t xml:space="preserve">      </w:t>
      </w:r>
      <w:r w:rsidRPr="00B42F0D">
        <w:rPr>
          <w:rStyle w:val="Emphasis"/>
          <w:i w:val="0"/>
          <w:sz w:val="22"/>
          <w:szCs w:val="22"/>
          <w:lang w:val="en-GB"/>
        </w:rPr>
        <w:t>The overall objective of the project of which this contract will be a part is as follows:</w:t>
      </w:r>
      <w:r>
        <w:rPr>
          <w:rStyle w:val="Emphasis"/>
          <w:i w:val="0"/>
          <w:sz w:val="22"/>
          <w:szCs w:val="22"/>
          <w:lang w:val="en-GB"/>
        </w:rPr>
        <w:t xml:space="preserve"> </w:t>
      </w:r>
    </w:p>
    <w:p w:rsidR="00D1745B" w:rsidRPr="00D1745B" w:rsidRDefault="00D1745B" w:rsidP="00D1745B">
      <w:pPr>
        <w:ind w:left="349" w:hanging="349"/>
        <w:jc w:val="both"/>
        <w:outlineLvl w:val="0"/>
        <w:rPr>
          <w:rStyle w:val="Emphasis"/>
          <w:i w:val="0"/>
          <w:sz w:val="22"/>
          <w:szCs w:val="22"/>
          <w:lang w:val="en-GB"/>
        </w:rPr>
      </w:pPr>
      <w:r>
        <w:rPr>
          <w:rStyle w:val="Emphasis"/>
          <w:i w:val="0"/>
          <w:sz w:val="22"/>
          <w:szCs w:val="22"/>
          <w:lang w:val="en-GB"/>
        </w:rPr>
        <w:t xml:space="preserve">       </w:t>
      </w:r>
      <w:r w:rsidRPr="00D1745B">
        <w:rPr>
          <w:rStyle w:val="Emphasis"/>
          <w:b/>
          <w:bCs/>
          <w:i w:val="0"/>
          <w:sz w:val="22"/>
          <w:szCs w:val="22"/>
          <w:lang w:val="en-GB"/>
        </w:rPr>
        <w:t>Web development:</w:t>
      </w:r>
      <w:r w:rsidRPr="00D1745B">
        <w:rPr>
          <w:rStyle w:val="Emphasis"/>
          <w:i w:val="0"/>
          <w:sz w:val="22"/>
          <w:szCs w:val="22"/>
          <w:lang w:val="en-GB"/>
        </w:rPr>
        <w:t xml:space="preserve"> develop new website with interactive multimedia-oriented web page design compatible to browser like Chrome, Mozilla Firefox, Internet Explorer, Safari, Opera compatible to multiple size screens (computer, tablet, mobiles and any other) with social media integration and interactivity and any other useful features;</w:t>
      </w:r>
    </w:p>
    <w:p w:rsidR="00D1745B" w:rsidRPr="00D1745B" w:rsidRDefault="00D1745B" w:rsidP="00D1745B">
      <w:pPr>
        <w:ind w:left="349" w:hanging="349"/>
        <w:jc w:val="both"/>
        <w:outlineLvl w:val="0"/>
        <w:rPr>
          <w:rStyle w:val="Emphasis"/>
          <w:i w:val="0"/>
          <w:sz w:val="22"/>
          <w:szCs w:val="22"/>
          <w:lang w:val="en-GB"/>
        </w:rPr>
      </w:pPr>
      <w:r>
        <w:rPr>
          <w:rStyle w:val="Emphasis"/>
          <w:i w:val="0"/>
          <w:sz w:val="22"/>
          <w:szCs w:val="22"/>
          <w:lang w:val="en-GB"/>
        </w:rPr>
        <w:t xml:space="preserve">      </w:t>
      </w:r>
      <w:bookmarkStart w:id="1" w:name="_Hlk29322295"/>
      <w:r w:rsidRPr="00D1745B">
        <w:rPr>
          <w:rStyle w:val="Emphasis"/>
          <w:b/>
          <w:bCs/>
          <w:i w:val="0"/>
          <w:sz w:val="22"/>
          <w:szCs w:val="22"/>
          <w:lang w:val="en-GB"/>
        </w:rPr>
        <w:t>Website support, service and maintenance</w:t>
      </w:r>
      <w:r w:rsidRPr="00D1745B">
        <w:rPr>
          <w:rStyle w:val="Emphasis"/>
          <w:i w:val="0"/>
          <w:sz w:val="22"/>
          <w:szCs w:val="22"/>
          <w:lang w:val="en-GB"/>
        </w:rPr>
        <w:t xml:space="preserve">: </w:t>
      </w:r>
      <w:bookmarkEnd w:id="1"/>
      <w:r w:rsidRPr="00D1745B">
        <w:rPr>
          <w:rStyle w:val="Emphasis"/>
          <w:i w:val="0"/>
          <w:sz w:val="22"/>
          <w:szCs w:val="22"/>
          <w:lang w:val="en-GB"/>
        </w:rPr>
        <w:t>scan for vulnerabilities, repairs and fixes, browser compatibility testing, software update, website backups, check site speed, search engine optimisation, website analyse, check the functionality of the website and supply updated website content;</w:t>
      </w:r>
    </w:p>
    <w:p w:rsidR="004A7544" w:rsidRDefault="00D1745B" w:rsidP="00D1745B">
      <w:pPr>
        <w:ind w:left="349" w:hanging="349"/>
        <w:jc w:val="both"/>
        <w:outlineLvl w:val="0"/>
        <w:rPr>
          <w:rStyle w:val="Emphasis"/>
          <w:i w:val="0"/>
          <w:sz w:val="22"/>
          <w:szCs w:val="22"/>
          <w:lang w:val="en-GB"/>
        </w:rPr>
      </w:pPr>
      <w:r>
        <w:rPr>
          <w:rStyle w:val="Emphasis"/>
          <w:i w:val="0"/>
          <w:sz w:val="22"/>
          <w:szCs w:val="22"/>
          <w:lang w:val="en-GB"/>
        </w:rPr>
        <w:t xml:space="preserve">       </w:t>
      </w:r>
      <w:r w:rsidRPr="00D1745B">
        <w:rPr>
          <w:rStyle w:val="Emphasis"/>
          <w:b/>
          <w:bCs/>
          <w:i w:val="0"/>
          <w:sz w:val="22"/>
          <w:szCs w:val="22"/>
          <w:lang w:val="en-GB"/>
        </w:rPr>
        <w:t>Hosting:</w:t>
      </w:r>
      <w:r w:rsidRPr="00D1745B">
        <w:rPr>
          <w:rStyle w:val="Emphasis"/>
          <w:i w:val="0"/>
          <w:sz w:val="22"/>
          <w:szCs w:val="22"/>
          <w:lang w:val="en-GB"/>
        </w:rPr>
        <w:t xml:space="preserve"> to provide public website and manage web hosting services required for the uninterrupted and fast access of users to the website and all action they can perform on the website (search, navigate, register for events etc.) not only during the project lifetime, but at least three years after the project closure.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94F0D" w:rsidP="00584BF4">
      <w:pPr>
        <w:ind w:left="709" w:hanging="349"/>
        <w:outlineLvl w:val="0"/>
        <w:rPr>
          <w:rStyle w:val="Emphasis"/>
          <w:i w:val="0"/>
          <w:sz w:val="22"/>
          <w:szCs w:val="22"/>
          <w:lang w:val="en-GB"/>
        </w:rPr>
      </w:pPr>
      <w:r w:rsidRPr="00394F0D">
        <w:rPr>
          <w:rStyle w:val="Emphasis"/>
          <w:i w:val="0"/>
          <w:sz w:val="22"/>
          <w:szCs w:val="22"/>
          <w:lang w:val="en-GB"/>
        </w:rPr>
        <w:t xml:space="preserve"> </w:t>
      </w:r>
      <w:r w:rsidR="00364564" w:rsidRPr="00394F0D">
        <w:rPr>
          <w:rStyle w:val="Emphasis"/>
          <w:i w:val="0"/>
          <w:sz w:val="22"/>
          <w:szCs w:val="22"/>
          <w:lang w:val="en-GB"/>
        </w:rPr>
        <w:t>O</w:t>
      </w:r>
      <w:r w:rsidR="00DA0ABA" w:rsidRPr="00394F0D">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B33EE6" w:rsidRDefault="00394F0D" w:rsidP="00971962">
      <w:pPr>
        <w:pStyle w:val="Blockquote"/>
        <w:jc w:val="both"/>
        <w:rPr>
          <w:sz w:val="22"/>
          <w:szCs w:val="22"/>
          <w:highlight w:val="yellow"/>
          <w:lang w:val="en-GB"/>
        </w:rPr>
      </w:pPr>
      <w:r w:rsidRPr="00394F0D">
        <w:rPr>
          <w:rStyle w:val="Strong"/>
          <w:b w:val="0"/>
          <w:sz w:val="22"/>
          <w:szCs w:val="22"/>
          <w:lang w:val="en-GB"/>
        </w:rPr>
        <w:t xml:space="preserve">The maximum budget is EUR </w:t>
      </w:r>
      <w:r>
        <w:rPr>
          <w:rStyle w:val="Strong"/>
          <w:b w:val="0"/>
          <w:sz w:val="22"/>
          <w:szCs w:val="22"/>
          <w:lang w:val="en-GB"/>
        </w:rPr>
        <w:t>3</w:t>
      </w:r>
      <w:r w:rsidRPr="00394F0D">
        <w:rPr>
          <w:rStyle w:val="Strong"/>
          <w:b w:val="0"/>
          <w:sz w:val="22"/>
          <w:szCs w:val="22"/>
          <w:lang w:val="en-GB"/>
        </w:rPr>
        <w:t>.</w:t>
      </w:r>
      <w:r>
        <w:rPr>
          <w:rStyle w:val="Strong"/>
          <w:b w:val="0"/>
          <w:sz w:val="22"/>
          <w:szCs w:val="22"/>
          <w:lang w:val="en-GB"/>
        </w:rPr>
        <w:t>5</w:t>
      </w:r>
      <w:r w:rsidRPr="00394F0D">
        <w:rPr>
          <w:rStyle w:val="Strong"/>
          <w:b w:val="0"/>
          <w:sz w:val="22"/>
          <w:szCs w:val="22"/>
          <w:lang w:val="en-GB"/>
        </w:rPr>
        <w:t>00 (VAT excluded)</w:t>
      </w:r>
      <w:r w:rsidR="00D1745B">
        <w:rPr>
          <w:rStyle w:val="Strong"/>
          <w:b w:val="0"/>
          <w:sz w:val="22"/>
          <w:szCs w:val="22"/>
          <w:lang w:val="en-GB"/>
        </w:rPr>
        <w:t>.</w:t>
      </w:r>
      <w:r w:rsidRPr="00394F0D">
        <w:rPr>
          <w:rStyle w:val="Strong"/>
          <w:b w:val="0"/>
          <w:sz w:val="22"/>
          <w:szCs w:val="22"/>
          <w:lang w:val="en-GB"/>
        </w:rPr>
        <w:t xml:space="preserve"> </w:t>
      </w:r>
    </w:p>
    <w:p w:rsidR="006F5FD0" w:rsidRPr="00B33EE6" w:rsidRDefault="00DC0202">
      <w:pPr>
        <w:pStyle w:val="Blockquote"/>
        <w:jc w:val="both"/>
        <w:rPr>
          <w:sz w:val="22"/>
          <w:szCs w:val="22"/>
          <w:lang w:val="en-GB"/>
        </w:rPr>
      </w:pPr>
      <w:r>
        <w:rPr>
          <w:noProof/>
          <w:snapToGrid/>
          <w:sz w:val="22"/>
          <w:szCs w:val="22"/>
          <w:lang w:val="en-GB"/>
        </w:rPr>
        <w:pict>
          <v:line id="Line 4" o:spid="_x0000_s1026" style="position:absolute;left:0;text-align:left;z-index:251656192;visibility:visibl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Q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1XbgzeAAAACAEA&#10;AA8AAABkcnMvZG93bnJldi54bWxMjzFPwzAQhXck/oN1SGytnUSgNsSpqqowMCDRMjC68ZFEjc9R&#10;7KTpv+c6wXS6e0/vvldsZteJCYfQetKQLBUIpMrblmoNX8fXxQpEiIas6TyhhisG2JT3d4XJrb/Q&#10;J06HWAsOoZAbDU2MfS5lqBp0Jix9j8Tajx+cibwOtbSDuXC462Sq1LN0piX+0Jgedw1W58PoNNQf&#10;V7nffa/2yk1jO71vVZW8nbV+fJi3LyAizvHPDDd8RoeSmU5+JBtEp2GRJuzUkD3xZH2dZWsQp9sh&#10;BVkW8n+B8hcAAP//AwBQSwECLQAUAAYACAAAACEAtoM4kv4AAADhAQAAEwAAAAAAAAAAAAAAAAAA&#10;AAAAW0NvbnRlbnRfVHlwZXNdLnhtbFBLAQItABQABgAIAAAAIQA4/SH/1gAAAJQBAAALAAAAAAAA&#10;AAAAAAAAAC8BAABfcmVscy8ucmVsc1BLAQItABQABgAIAAAAIQC/XQW+AQIAAPMDAAAOAAAAAAAA&#10;AAAAAAAAAC4CAABkcnMvZTJvRG9jLnhtbFBLAQItABQABgAIAAAAIQA9V24M3gAAAAgBAAAPAAAA&#10;AAAAAAAAAAAAAFsEAABkcnMvZG93bnJldi54bWxQSwUGAAAAAAQABADzAAAAZgUAAAAA&#10;" o:allowincell="f" strokecolor="#d4d4d4" strokeweight="1.75pt">
            <v:shadow on="t"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0F3104" w:rsidRDefault="00D93082" w:rsidP="00E147D3">
      <w:pPr>
        <w:widowControl/>
        <w:spacing w:before="360" w:after="360"/>
        <w:ind w:left="426"/>
        <w:jc w:val="both"/>
        <w:rPr>
          <w:sz w:val="22"/>
          <w:szCs w:val="22"/>
          <w:lang w:val="en-GB"/>
        </w:rPr>
      </w:pPr>
      <w:r w:rsidRPr="000F3104">
        <w:rPr>
          <w:sz w:val="22"/>
          <w:szCs w:val="22"/>
          <w:lang w:val="en-GB"/>
        </w:rPr>
        <w:t xml:space="preserve">Participation is open to all </w:t>
      </w:r>
      <w:r w:rsidRPr="000F3104">
        <w:rPr>
          <w:rFonts w:eastAsia="Calibri" w:cs="Arial"/>
          <w:sz w:val="22"/>
          <w:szCs w:val="22"/>
          <w:lang w:val="en-GB"/>
        </w:rPr>
        <w:t xml:space="preserve">natural persons who are nationals of and </w:t>
      </w:r>
      <w:r w:rsidRPr="000F3104">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0F3104">
        <w:rPr>
          <w:rFonts w:eastAsia="Calibri" w:cs="Arial"/>
          <w:bCs/>
          <w:sz w:val="22"/>
          <w:szCs w:val="22"/>
          <w:lang w:val="en-GB"/>
        </w:rPr>
        <w:t xml:space="preserve">the Regulation </w:t>
      </w:r>
      <w:r w:rsidRPr="000F3104">
        <w:rPr>
          <w:sz w:val="22"/>
          <w:szCs w:val="22"/>
          <w:lang w:val="en-GB"/>
        </w:rPr>
        <w:t xml:space="preserve">(EU) </w:t>
      </w:r>
      <w:r w:rsidR="00FE4E4B" w:rsidRPr="000F3104">
        <w:rPr>
          <w:sz w:val="22"/>
          <w:szCs w:val="22"/>
          <w:lang w:val="en-GB"/>
        </w:rPr>
        <w:t>No </w:t>
      </w:r>
      <w:r w:rsidRPr="000F3104">
        <w:rPr>
          <w:rFonts w:eastAsia="MS Mincho"/>
          <w:noProof/>
          <w:sz w:val="22"/>
          <w:szCs w:val="22"/>
          <w:lang w:val="en-GB" w:eastAsia="ja-JP"/>
        </w:rPr>
        <w:t xml:space="preserve">236/2014 </w:t>
      </w:r>
      <w:r w:rsidRPr="000F3104">
        <w:rPr>
          <w:rFonts w:eastAsia="Calibri" w:cs="Arial"/>
          <w:bCs/>
          <w:sz w:val="22"/>
          <w:szCs w:val="22"/>
          <w:lang w:val="en-GB"/>
        </w:rPr>
        <w:t xml:space="preserve">establishing common rules and procedures for the implementation of the Union's instruments for external action (CIR) </w:t>
      </w:r>
      <w:r w:rsidRPr="000F3104">
        <w:rPr>
          <w:sz w:val="22"/>
          <w:szCs w:val="22"/>
          <w:lang w:val="en-GB"/>
        </w:rPr>
        <w:t xml:space="preserve">for the applicable </w:t>
      </w:r>
      <w:r w:rsidR="00FE4E4B" w:rsidRPr="000F3104">
        <w:rPr>
          <w:sz w:val="22"/>
          <w:szCs w:val="22"/>
          <w:lang w:val="en-GB"/>
        </w:rPr>
        <w:t>i</w:t>
      </w:r>
      <w:r w:rsidRPr="000F3104">
        <w:rPr>
          <w:sz w:val="22"/>
          <w:szCs w:val="22"/>
          <w:lang w:val="en-GB"/>
        </w:rPr>
        <w:t>nstrument under which the contract is financed (see also heading 2</w:t>
      </w:r>
      <w:r w:rsidR="00A504E1" w:rsidRPr="000F3104">
        <w:rPr>
          <w:sz w:val="22"/>
          <w:szCs w:val="22"/>
          <w:lang w:val="en-GB"/>
        </w:rPr>
        <w:t>3</w:t>
      </w:r>
      <w:r w:rsidRPr="000F3104">
        <w:rPr>
          <w:sz w:val="22"/>
          <w:szCs w:val="22"/>
          <w:lang w:val="en-GB"/>
        </w:rPr>
        <w:t xml:space="preserve"> below)</w:t>
      </w:r>
      <w:r w:rsidRPr="000F3104">
        <w:rPr>
          <w:rFonts w:eastAsia="Calibri" w:cs="Arial"/>
          <w:sz w:val="22"/>
          <w:szCs w:val="22"/>
          <w:lang w:val="en-GB"/>
        </w:rPr>
        <w:t xml:space="preserve">. </w:t>
      </w:r>
      <w:r w:rsidRPr="000F3104">
        <w:rPr>
          <w:sz w:val="22"/>
          <w:szCs w:val="22"/>
          <w:lang w:val="en-GB"/>
        </w:rPr>
        <w:t>Participation is also open to international organisations.</w:t>
      </w:r>
      <w:bookmarkStart w:id="2" w:name="_DV_M201"/>
      <w:bookmarkEnd w:id="2"/>
      <w:r w:rsidRPr="000F3104">
        <w:rPr>
          <w:rFonts w:eastAsia="Calibri" w:cs="Arial"/>
          <w:noProof/>
          <w:sz w:val="22"/>
          <w:szCs w:val="22"/>
          <w:lang w:val="en-GB"/>
        </w:rPr>
        <w:t xml:space="preserve"> </w:t>
      </w:r>
      <w:r w:rsidRPr="000F3104">
        <w:rPr>
          <w:sz w:val="22"/>
          <w:szCs w:val="22"/>
          <w:lang w:val="en-GB"/>
        </w:rPr>
        <w:t xml:space="preserve">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Default="006F5FD0" w:rsidP="00584BF4">
      <w:pPr>
        <w:ind w:left="709" w:hanging="349"/>
        <w:outlineLvl w:val="0"/>
        <w:rPr>
          <w:rStyle w:val="Strong"/>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D1745B" w:rsidRPr="00B33EE6" w:rsidRDefault="00D1745B" w:rsidP="00584BF4">
      <w:pPr>
        <w:ind w:left="709" w:hanging="349"/>
        <w:outlineLvl w:val="0"/>
        <w:rPr>
          <w:sz w:val="22"/>
          <w:szCs w:val="22"/>
          <w:lang w:val="en-GB"/>
        </w:rPr>
      </w:pPr>
    </w:p>
    <w:p w:rsidR="00E9047D" w:rsidRPr="00B33EE6" w:rsidRDefault="001F46FA" w:rsidP="00584BF4">
      <w:pPr>
        <w:ind w:left="709" w:hanging="349"/>
        <w:outlineLvl w:val="0"/>
        <w:rPr>
          <w:rStyle w:val="Emphasis"/>
          <w:i w:val="0"/>
          <w:sz w:val="22"/>
          <w:szCs w:val="22"/>
          <w:lang w:val="en-GB"/>
        </w:rPr>
      </w:pPr>
      <w:r>
        <w:rPr>
          <w:rStyle w:val="Emphasis"/>
          <w:i w:val="0"/>
          <w:sz w:val="22"/>
          <w:szCs w:val="22"/>
          <w:lang w:val="en-GB"/>
        </w:rPr>
        <w:t>No derogation from General condition</w:t>
      </w:r>
      <w:r w:rsidR="000C1101" w:rsidRPr="00B33EE6">
        <w:rPr>
          <w:rStyle w:val="Emphasis"/>
          <w:i w:val="0"/>
          <w:sz w:val="22"/>
          <w:szCs w:val="22"/>
          <w:lang w:val="en-GB"/>
        </w:rPr>
        <w:t>.</w:t>
      </w:r>
    </w:p>
    <w:p w:rsidR="006F5FD0" w:rsidRPr="00B33EE6" w:rsidRDefault="00DC0202">
      <w:pPr>
        <w:keepNext/>
        <w:jc w:val="center"/>
        <w:rPr>
          <w:sz w:val="28"/>
          <w:szCs w:val="28"/>
          <w:lang w:val="en-GB"/>
        </w:rPr>
      </w:pPr>
      <w:r w:rsidRPr="00DC0202">
        <w:rPr>
          <w:noProof/>
          <w:snapToGrid/>
          <w:sz w:val="22"/>
          <w:szCs w:val="22"/>
          <w:lang w:val="en-GB"/>
        </w:rPr>
        <w:pict>
          <v:line id="Line 5" o:spid="_x0000_s1029" style="position:absolute;left:0;text-align:left;z-index:251657216;visibility:visibl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Le0AgIAAPMDAAAOAAAAZHJzL2Uyb0RvYy54bWysU02P2yAQvVfqf0DcGzvJJt1acfaQdHvZ&#10;tpGyVc8TwDYqZhCQOPn3HciH0u6tKkgImJnHezPD4unYG3ZQPmi0NR+PSs6UFSi1bWv+4/X5wyNn&#10;IYKVYNCqmp9U4E/L9+8Wg6vUBDs0UnlGIDZUg6t5F6OriiKITvUQRuiUJWODvodIR98W0sNA6L0p&#10;JmU5Lwb00nkUKgS6XZ+NfJnxm0aJ+L1pgorM1Jy4xbz6vO7SWiwXULUeXKfFhQb8A4setKVHb1Br&#10;iMD2Xr+B6rXwGLCJI4F9gU2jhcoaSM24/EvNtgOnshZKTnC3NIX/Byu+HTaeaVnzKWcWeirRi7aK&#10;zVJmBhcqcljZjU/axNFu3QuKX4FZXHVgW5UZvp4chY1TRPFHSDoER/i74StK8oF9xJymY+P7BEkJ&#10;YMdcjdOtGuoYmaDL2aeH6bykogmyzaeZUQHVNdT5EL8o7Fna1NwQ6wwNh5cQExWori7pJYvP2phc&#10;bmPZUPMJjVmOCGi0TNbkF3y7WxnPDkAds35IMwsjy72bx72VGa1TID9f9hG0Oe/pdWMTnspNSJSy&#10;3H1UftvJgUmdSI8nH5NAqakjx3PqZxqcgWnpL4noOfMYf+rY5TSnBL1h+FimeWGIV/is/u7lXJZU&#10;iXNNdyhPG38tF3VW9r/8gtS692fa3//V5W8AAAD//wMAUEsDBBQABgAIAAAAIQCSt5fE2wAAAAUB&#10;AAAPAAAAZHJzL2Rvd25yZXYueG1sTI8xb8IwEIX3Sv0P1lXqVuxAVUGIgxCiHTogFRgYTXwkEfE5&#10;ip0Q/n2PqR0/vdN732Wr0TViwC7UnjQkEwUCqfC2plLD8fD5NgcRoiFrGk+o4Y4BVvnzU2ZS62/0&#10;g8M+loJLKKRGQxVjm0oZigqdCRPfInF28Z0zkbErpe3MjctdI6dKfUhnauKFyrS4qbC47nunodzd&#10;5XZzmm+VG/p6+F6rIvm6av36Mq6XICKO8e8YHvqsDjk7nX1PNohGw4w/iRreExCcLmYL5jPzFGSe&#10;yf/2+S8AAAD//wMAUEsBAi0AFAAGAAgAAAAhALaDOJL+AAAA4QEAABMAAAAAAAAAAAAAAAAAAAAA&#10;AFtDb250ZW50X1R5cGVzXS54bWxQSwECLQAUAAYACAAAACEAOP0h/9YAAACUAQAACwAAAAAAAAAA&#10;AAAAAAAvAQAAX3JlbHMvLnJlbHNQSwECLQAUAAYACAAAACEAT2C3tAICAADzAwAADgAAAAAAAAAA&#10;AAAAAAAuAgAAZHJzL2Uyb0RvYy54bWxQSwECLQAUAAYACAAAACEAkreXxNsAAAAFAQAADwAAAAAA&#10;AAAAAAAAAABcBAAAZHJzL2Rvd25yZXYueG1sUEsFBgAAAAAEAAQA8wAAAGQFAAAAAA==&#10;" o:allowincell="f" strokecolor="#d4d4d4" strokeweight="1.75pt">
            <v:shadow on="t"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DE5F8C" w:rsidRDefault="00DE5F8C" w:rsidP="00571687">
      <w:pPr>
        <w:ind w:left="709" w:hanging="349"/>
        <w:outlineLvl w:val="0"/>
        <w:rPr>
          <w:rStyle w:val="Emphasis"/>
          <w:i w:val="0"/>
          <w:sz w:val="22"/>
          <w:szCs w:val="22"/>
          <w:lang w:val="en-GB"/>
        </w:rPr>
      </w:pPr>
      <w:r w:rsidRPr="00DE5F8C">
        <w:rPr>
          <w:rStyle w:val="Emphasis"/>
          <w:i w:val="0"/>
          <w:sz w:val="22"/>
          <w:szCs w:val="22"/>
          <w:lang w:val="en-GB"/>
        </w:rPr>
        <w:t xml:space="preserve">The intended start date is the date of sighing the Contract </w:t>
      </w:r>
      <w:r>
        <w:rPr>
          <w:rStyle w:val="Emphasis"/>
          <w:i w:val="0"/>
          <w:sz w:val="22"/>
          <w:szCs w:val="22"/>
          <w:lang w:val="en-GB"/>
        </w:rPr>
        <w:t xml:space="preserve">by both sides. </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D372CC" w:rsidRDefault="00396C49" w:rsidP="00571687">
      <w:pPr>
        <w:pStyle w:val="Blockquote"/>
        <w:jc w:val="both"/>
        <w:rPr>
          <w:rStyle w:val="Emphasis"/>
          <w:i w:val="0"/>
          <w:sz w:val="22"/>
          <w:szCs w:val="22"/>
          <w:lang w:val="en-GB"/>
        </w:rPr>
      </w:pPr>
      <w:r>
        <w:rPr>
          <w:rStyle w:val="Emphasis"/>
          <w:i w:val="0"/>
          <w:sz w:val="22"/>
          <w:szCs w:val="22"/>
          <w:lang w:val="en-GB"/>
        </w:rPr>
        <w:t xml:space="preserve">February 2020 – June 2020, </w:t>
      </w:r>
      <w:r w:rsidR="00DC2606" w:rsidRPr="00D372CC">
        <w:rPr>
          <w:rStyle w:val="Emphasis"/>
          <w:i w:val="0"/>
          <w:sz w:val="22"/>
          <w:szCs w:val="22"/>
          <w:lang w:val="en-GB"/>
        </w:rPr>
        <w:t>5</w:t>
      </w:r>
      <w:r w:rsidR="00AC725D" w:rsidRPr="00D372CC">
        <w:rPr>
          <w:rStyle w:val="Emphasis"/>
          <w:i w:val="0"/>
          <w:sz w:val="22"/>
          <w:szCs w:val="22"/>
          <w:lang w:val="en-GB"/>
        </w:rPr>
        <w:t xml:space="preserve"> months</w:t>
      </w:r>
      <w:r>
        <w:rPr>
          <w:rStyle w:val="Emphasis"/>
          <w:i w:val="0"/>
          <w:sz w:val="22"/>
          <w:szCs w:val="22"/>
          <w:lang w:val="en-GB"/>
        </w:rPr>
        <w:t>.</w:t>
      </w:r>
    </w:p>
    <w:p w:rsidR="00DC2606" w:rsidRPr="00B33EE6" w:rsidRDefault="00DC2606" w:rsidP="00571687">
      <w:pPr>
        <w:pStyle w:val="Blockquote"/>
        <w:jc w:val="both"/>
        <w:rPr>
          <w:i/>
          <w:sz w:val="22"/>
          <w:szCs w:val="22"/>
          <w:lang w:val="en-GB"/>
        </w:rPr>
      </w:pPr>
      <w:bookmarkStart w:id="3" w:name="_Hlk28700743"/>
      <w:r w:rsidRPr="00D372CC">
        <w:rPr>
          <w:rStyle w:val="Emphasis"/>
          <w:i w:val="0"/>
          <w:sz w:val="22"/>
          <w:szCs w:val="22"/>
          <w:lang w:val="en-GB"/>
        </w:rPr>
        <w:t xml:space="preserve">The successful contractor should ensure and monitor the website is accessible for further 3 years after </w:t>
      </w:r>
      <w:r w:rsidR="00DE5F8C" w:rsidRPr="00D372CC">
        <w:rPr>
          <w:rStyle w:val="Emphasis"/>
          <w:i w:val="0"/>
          <w:sz w:val="22"/>
          <w:szCs w:val="22"/>
          <w:lang w:val="en-GB"/>
        </w:rPr>
        <w:t xml:space="preserve">the </w:t>
      </w:r>
      <w:r w:rsidRPr="00D372CC">
        <w:rPr>
          <w:rStyle w:val="Emphasis"/>
          <w:i w:val="0"/>
          <w:sz w:val="22"/>
          <w:szCs w:val="22"/>
          <w:lang w:val="en-GB"/>
        </w:rPr>
        <w:t>clos</w:t>
      </w:r>
      <w:r w:rsidR="00DE5F8C" w:rsidRPr="00D372CC">
        <w:rPr>
          <w:rStyle w:val="Emphasis"/>
          <w:i w:val="0"/>
          <w:sz w:val="22"/>
          <w:szCs w:val="22"/>
          <w:lang w:val="en-GB"/>
        </w:rPr>
        <w:t>ure of</w:t>
      </w:r>
      <w:r w:rsidRPr="00D372CC">
        <w:rPr>
          <w:rStyle w:val="Emphasis"/>
          <w:i w:val="0"/>
          <w:sz w:val="22"/>
          <w:szCs w:val="22"/>
          <w:lang w:val="en-GB"/>
        </w:rPr>
        <w:t xml:space="preserve"> the project</w:t>
      </w:r>
      <w:r w:rsidR="00DE5F8C" w:rsidRPr="00D372CC">
        <w:rPr>
          <w:rStyle w:val="Emphasis"/>
          <w:i w:val="0"/>
          <w:sz w:val="22"/>
          <w:szCs w:val="22"/>
          <w:lang w:val="en-GB"/>
        </w:rPr>
        <w:t>.</w:t>
      </w:r>
    </w:p>
    <w:bookmarkEnd w:id="3"/>
    <w:p w:rsidR="006F5FD0" w:rsidRPr="00B33EE6" w:rsidRDefault="00DC0202">
      <w:pPr>
        <w:rPr>
          <w:sz w:val="22"/>
          <w:szCs w:val="22"/>
          <w:lang w:val="en-GB"/>
        </w:rPr>
      </w:pPr>
      <w:r>
        <w:rPr>
          <w:noProof/>
          <w:snapToGrid/>
          <w:sz w:val="22"/>
          <w:szCs w:val="22"/>
          <w:lang w:val="en-GB"/>
        </w:rPr>
        <w:pict>
          <v:line id="Line 6" o:spid="_x0000_s1028" style="position:absolute;z-index:251658240;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ZcAAIAAPMDAAAOAAAAZHJzL2Uyb0RvYy54bWysU01vGjEQvVfqf7B8L7uQQNMVSw7Q9EJb&#10;JFL1PNjeXatej2UbFv59xw4gktyq2pLlj5k3782M54/H3rCD8kGjrfl4VHKmrECpbVvzX89Pnx44&#10;CxGsBINW1fykAn9cfPwwH1ylJtihkcozArGhGlzNuxhdVRRBdKqHMEKnLD026HuIdPRtIT0MhN6b&#10;YlKWs2JAL51HoUKg29XLI19k/KZRIv5smqAiMzUnbjGvPq+7tBaLOVStB9dpcaYB/8CiB20p6BVq&#10;BRHY3ut3UL0WHgM2cSSwL7BptFBZA6kZl2/UbDtwKmuh5AR3TVP4f7Dix2HjmZY1n3BmoacSrbVV&#10;bJYyM7hQkcHSbnzSJo5269Yo/gRmcdmBbVVm+Hxy5DZOHsUrl3QIjvB3w3eUZAP7iDlNx8b3CZIS&#10;wI65GqdrNdQxMkGX0y/3d7OSiibobXY3zfhQXVydD/Gbwp6lTc0Nsc7QcFiHmKhAdTFJkSw+aWNy&#10;uY1lA+mlMc0eAY2W6TXZBd/ulsazA1DHrO7TPAd+ZeZxb2VG6xTIr+d9BG1e9hTd2ISnchMSpSx3&#10;H5XfdnJgUifS48nnJFBq6sjxjPqZBmdgWvpLInrOPMbfOnY5zSlB7xg+lGmeGeIFPqu/iZzLkirx&#10;UtMdytPGX8pFnZXtz78gte7tmfa3f3XxF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C+uSZcAAIAAPMDAAAOAAAAAAAAAAAA&#10;AAAAAC4CAABkcnMvZTJvRG9jLnhtbFBLAQItABQABgAIAAAAIQDQL1Qd3AAAAAYBAAAPAAAAAAAA&#10;AAAAAAAAAFoEAABkcnMvZG93bnJldi54bWxQSwUGAAAAAAQABADzAAAAYwUAAAAA&#10;" o:allowincell="f" strokecolor="#d4d4d4" strokeweight="1.75pt">
            <v:shadow on="t"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FB76A9" w:rsidRDefault="00FB76A9" w:rsidP="00FB76A9">
      <w:pPr>
        <w:pStyle w:val="Blockquote"/>
        <w:numPr>
          <w:ilvl w:val="0"/>
          <w:numId w:val="45"/>
        </w:numPr>
        <w:jc w:val="both"/>
        <w:rPr>
          <w:sz w:val="22"/>
          <w:szCs w:val="22"/>
          <w:lang w:val="en-GB"/>
        </w:rPr>
      </w:pPr>
      <w:r w:rsidRPr="00396C49">
        <w:rPr>
          <w:b/>
          <w:bCs/>
          <w:sz w:val="22"/>
          <w:szCs w:val="22"/>
          <w:u w:val="single"/>
          <w:lang w:val="en-GB"/>
        </w:rPr>
        <w:t>Economic and financial capacity of the tenderer</w:t>
      </w:r>
      <w:r w:rsidRPr="00FB76A9">
        <w:rPr>
          <w:sz w:val="22"/>
          <w:szCs w:val="22"/>
          <w:lang w:val="en-GB"/>
        </w:rPr>
        <w:t xml:space="preserve"> (based on item 3 of the tender form). In case of tenderer being a public body, equivalent information should be provided. The reference period which will be taken into account will be the last three financial years for which accounts have been closed.</w:t>
      </w:r>
    </w:p>
    <w:p w:rsidR="00FB76A9" w:rsidRPr="007713EC" w:rsidRDefault="00B42F0D" w:rsidP="00B42F0D">
      <w:pPr>
        <w:pStyle w:val="Blockquote"/>
        <w:ind w:left="0"/>
        <w:jc w:val="both"/>
        <w:rPr>
          <w:b/>
          <w:bCs/>
          <w:sz w:val="22"/>
          <w:szCs w:val="22"/>
          <w:lang w:val="en-GB"/>
        </w:rPr>
      </w:pPr>
      <w:r>
        <w:rPr>
          <w:sz w:val="22"/>
          <w:szCs w:val="22"/>
          <w:lang w:val="en-GB"/>
        </w:rPr>
        <w:t xml:space="preserve">       </w:t>
      </w:r>
      <w:r w:rsidR="00FB76A9" w:rsidRPr="007713EC">
        <w:rPr>
          <w:b/>
          <w:bCs/>
          <w:sz w:val="22"/>
          <w:szCs w:val="22"/>
          <w:lang w:val="en-GB"/>
        </w:rPr>
        <w:t xml:space="preserve">Criteria for legal </w:t>
      </w:r>
      <w:r w:rsidR="007713EC" w:rsidRPr="007713EC">
        <w:rPr>
          <w:b/>
          <w:bCs/>
          <w:sz w:val="22"/>
          <w:szCs w:val="22"/>
          <w:lang w:val="en-GB"/>
        </w:rPr>
        <w:t xml:space="preserve">and natural </w:t>
      </w:r>
      <w:r w:rsidR="00FB76A9" w:rsidRPr="007713EC">
        <w:rPr>
          <w:b/>
          <w:bCs/>
          <w:sz w:val="22"/>
          <w:szCs w:val="22"/>
          <w:lang w:val="en-GB"/>
        </w:rPr>
        <w:t xml:space="preserve">persons: </w:t>
      </w:r>
    </w:p>
    <w:p w:rsidR="00FB76A9" w:rsidRPr="00FB76A9" w:rsidRDefault="00FB76A9" w:rsidP="00FB76A9">
      <w:pPr>
        <w:pStyle w:val="Blockquote"/>
        <w:jc w:val="both"/>
        <w:rPr>
          <w:sz w:val="22"/>
          <w:szCs w:val="22"/>
          <w:lang w:val="en-GB"/>
        </w:rPr>
      </w:pPr>
      <w:r w:rsidRPr="00FB76A9">
        <w:rPr>
          <w:sz w:val="22"/>
          <w:szCs w:val="22"/>
          <w:lang w:val="en-GB"/>
        </w:rPr>
        <w:t>1.</w:t>
      </w:r>
      <w:r w:rsidRPr="00FB76A9">
        <w:rPr>
          <w:sz w:val="22"/>
          <w:szCs w:val="22"/>
          <w:lang w:val="en-GB"/>
        </w:rPr>
        <w:tab/>
        <w:t>the average annual turnover of the tenderer over</w:t>
      </w:r>
      <w:r w:rsidR="007713EC">
        <w:rPr>
          <w:sz w:val="22"/>
          <w:szCs w:val="22"/>
          <w:lang w:val="en-GB"/>
        </w:rPr>
        <w:t xml:space="preserve"> the</w:t>
      </w:r>
      <w:r w:rsidRPr="00FB76A9">
        <w:rPr>
          <w:sz w:val="22"/>
          <w:szCs w:val="22"/>
          <w:lang w:val="en-GB"/>
        </w:rPr>
        <w:t xml:space="preserve"> past three (3) years for which accounts are closed, must exceed the tenderer’s financial offer.</w:t>
      </w:r>
    </w:p>
    <w:p w:rsidR="00FB76A9" w:rsidRDefault="00FB76A9" w:rsidP="00FB76A9">
      <w:pPr>
        <w:pStyle w:val="Blockquote"/>
        <w:jc w:val="both"/>
        <w:rPr>
          <w:sz w:val="22"/>
          <w:szCs w:val="22"/>
          <w:lang w:val="en-GB"/>
        </w:rPr>
      </w:pPr>
      <w:r w:rsidRPr="00FB76A9">
        <w:rPr>
          <w:sz w:val="22"/>
          <w:szCs w:val="22"/>
          <w:lang w:val="en-GB"/>
        </w:rPr>
        <w:t>Companies that have been operational for less than three years will have to demonstrate an operational cash flow which must exceed their financial proposal for the years in which they have been operational.</w:t>
      </w:r>
    </w:p>
    <w:p w:rsidR="006F5FD0" w:rsidRPr="00B33EE6" w:rsidRDefault="00DE5F8C" w:rsidP="00B42F0D">
      <w:pPr>
        <w:pStyle w:val="Blockquote"/>
        <w:ind w:left="284" w:right="357" w:hanging="284"/>
        <w:jc w:val="both"/>
        <w:rPr>
          <w:sz w:val="22"/>
          <w:szCs w:val="22"/>
          <w:lang w:val="en-GB"/>
        </w:rPr>
      </w:pPr>
      <w:r w:rsidRPr="00396C49">
        <w:rPr>
          <w:b/>
          <w:sz w:val="22"/>
          <w:szCs w:val="22"/>
          <w:lang w:val="en-GB"/>
        </w:rPr>
        <w:t xml:space="preserve">   </w:t>
      </w:r>
      <w:r w:rsidR="00FB76A9" w:rsidRPr="00396C49">
        <w:rPr>
          <w:b/>
          <w:sz w:val="22"/>
          <w:szCs w:val="22"/>
          <w:lang w:val="en-GB"/>
        </w:rPr>
        <w:t>2</w:t>
      </w:r>
      <w:r w:rsidR="00571687" w:rsidRPr="00396C49">
        <w:rPr>
          <w:b/>
          <w:sz w:val="22"/>
          <w:szCs w:val="22"/>
          <w:lang w:val="en-GB"/>
        </w:rPr>
        <w:t>)</w:t>
      </w:r>
      <w:r w:rsidRPr="00396C49">
        <w:rPr>
          <w:sz w:val="22"/>
          <w:szCs w:val="22"/>
          <w:lang w:val="en-GB"/>
        </w:rPr>
        <w:t xml:space="preserve">  </w:t>
      </w:r>
      <w:r w:rsidRPr="00396C49">
        <w:rPr>
          <w:sz w:val="22"/>
          <w:szCs w:val="22"/>
          <w:u w:val="single"/>
          <w:lang w:val="en-GB"/>
        </w:rPr>
        <w:t xml:space="preserve"> </w:t>
      </w:r>
      <w:r w:rsidR="006F5FD0" w:rsidRPr="00396C49">
        <w:rPr>
          <w:b/>
          <w:sz w:val="22"/>
          <w:szCs w:val="22"/>
          <w:u w:val="single"/>
          <w:lang w:val="en-GB"/>
        </w:rPr>
        <w:t>Professional capacity of</w:t>
      </w:r>
      <w:r w:rsidR="002413EA" w:rsidRPr="00396C49">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D15767" w:rsidRPr="00D15767" w:rsidRDefault="00D15767" w:rsidP="00D15767">
      <w:pPr>
        <w:pStyle w:val="Blockquote"/>
        <w:ind w:right="357" w:hanging="3"/>
        <w:jc w:val="both"/>
        <w:rPr>
          <w:sz w:val="22"/>
          <w:szCs w:val="22"/>
          <w:lang w:val="en-GB"/>
        </w:rPr>
      </w:pPr>
      <w:r w:rsidRPr="00D15767">
        <w:rPr>
          <w:sz w:val="22"/>
          <w:szCs w:val="22"/>
          <w:lang w:val="en-GB"/>
        </w:rPr>
        <w:t xml:space="preserve">Criteria for legal persons:  </w:t>
      </w:r>
    </w:p>
    <w:p w:rsidR="00D15767" w:rsidRPr="00D15767" w:rsidRDefault="00D15767" w:rsidP="00D15767">
      <w:pPr>
        <w:pStyle w:val="Blockquote"/>
        <w:ind w:right="357" w:hanging="3"/>
        <w:jc w:val="both"/>
        <w:rPr>
          <w:sz w:val="22"/>
          <w:szCs w:val="22"/>
          <w:lang w:val="en-GB"/>
        </w:rPr>
      </w:pPr>
      <w:r w:rsidRPr="00D15767">
        <w:rPr>
          <w:sz w:val="22"/>
          <w:szCs w:val="22"/>
          <w:lang w:val="en-GB"/>
        </w:rPr>
        <w:t>•</w:t>
      </w:r>
      <w:r w:rsidRPr="00D15767">
        <w:rPr>
          <w:sz w:val="22"/>
          <w:szCs w:val="22"/>
          <w:lang w:val="en-GB"/>
        </w:rPr>
        <w:tab/>
        <w:t>the tenderer is registered as a legal person to carry out the activity related to the subject-matter of this contract or evidence that the tenderer is affiliated in professional association in accordance with the regulations of the country where it is established.</w:t>
      </w:r>
    </w:p>
    <w:p w:rsidR="00D15767" w:rsidRPr="00D15767" w:rsidRDefault="00D15767" w:rsidP="00D15767">
      <w:pPr>
        <w:pStyle w:val="Blockquote"/>
        <w:ind w:right="357" w:hanging="3"/>
        <w:jc w:val="both"/>
        <w:rPr>
          <w:sz w:val="22"/>
          <w:szCs w:val="22"/>
          <w:lang w:val="en-GB"/>
        </w:rPr>
      </w:pPr>
      <w:r w:rsidRPr="00D15767">
        <w:rPr>
          <w:sz w:val="22"/>
          <w:szCs w:val="22"/>
          <w:lang w:val="en-GB"/>
        </w:rPr>
        <w:t>•</w:t>
      </w:r>
      <w:r w:rsidRPr="00D15767">
        <w:rPr>
          <w:sz w:val="22"/>
          <w:szCs w:val="22"/>
          <w:lang w:val="en-GB"/>
        </w:rPr>
        <w:tab/>
      </w:r>
      <w:r w:rsidR="0054047A" w:rsidRPr="0054047A">
        <w:rPr>
          <w:sz w:val="22"/>
          <w:szCs w:val="22"/>
          <w:lang w:val="en-GB"/>
        </w:rPr>
        <w:t>at least 1 staff currently work for the candidate in fields related to this contract</w:t>
      </w:r>
      <w:r w:rsidRPr="00D15767">
        <w:rPr>
          <w:sz w:val="22"/>
          <w:szCs w:val="22"/>
          <w:lang w:val="en-GB"/>
        </w:rPr>
        <w:t>;</w:t>
      </w:r>
    </w:p>
    <w:p w:rsidR="00D15767" w:rsidRPr="00D15767" w:rsidRDefault="00D15767" w:rsidP="00D15767">
      <w:pPr>
        <w:pStyle w:val="Blockquote"/>
        <w:ind w:right="357" w:hanging="3"/>
        <w:jc w:val="both"/>
        <w:rPr>
          <w:sz w:val="22"/>
          <w:szCs w:val="22"/>
          <w:lang w:val="en-GB"/>
        </w:rPr>
      </w:pPr>
      <w:r w:rsidRPr="00D15767">
        <w:rPr>
          <w:sz w:val="22"/>
          <w:szCs w:val="22"/>
          <w:lang w:val="en-GB"/>
        </w:rPr>
        <w:t xml:space="preserve">Criteria for natural persons:  </w:t>
      </w:r>
    </w:p>
    <w:p w:rsidR="00D15767" w:rsidRDefault="00D15767" w:rsidP="00695165">
      <w:pPr>
        <w:pStyle w:val="Blockquote"/>
        <w:ind w:right="357" w:hanging="3"/>
        <w:jc w:val="both"/>
        <w:rPr>
          <w:sz w:val="22"/>
          <w:szCs w:val="22"/>
          <w:lang w:val="en-GB"/>
        </w:rPr>
      </w:pPr>
      <w:r w:rsidRPr="00D15767">
        <w:rPr>
          <w:sz w:val="22"/>
          <w:szCs w:val="22"/>
          <w:lang w:val="en-GB"/>
        </w:rPr>
        <w:t>•</w:t>
      </w:r>
      <w:r w:rsidRPr="00D15767">
        <w:rPr>
          <w:sz w:val="22"/>
          <w:szCs w:val="22"/>
          <w:lang w:val="en-GB"/>
        </w:rPr>
        <w:tab/>
        <w:t xml:space="preserve">Knowledge and proven professional experience of at least </w:t>
      </w:r>
      <w:r w:rsidR="003154FF">
        <w:rPr>
          <w:sz w:val="22"/>
          <w:szCs w:val="22"/>
          <w:lang w:val="en-GB"/>
        </w:rPr>
        <w:t>3</w:t>
      </w:r>
      <w:r w:rsidRPr="00D15767">
        <w:rPr>
          <w:sz w:val="22"/>
          <w:szCs w:val="22"/>
          <w:lang w:val="en-GB"/>
        </w:rPr>
        <w:t xml:space="preserve"> years of experience </w:t>
      </w:r>
      <w:r w:rsidR="00DE5F8C" w:rsidRPr="00DE5F8C">
        <w:rPr>
          <w:sz w:val="22"/>
          <w:szCs w:val="22"/>
          <w:lang w:val="en-GB"/>
        </w:rPr>
        <w:t xml:space="preserve">in fields </w:t>
      </w:r>
      <w:r w:rsidR="00DE5F8C" w:rsidRPr="00DE5F8C">
        <w:rPr>
          <w:sz w:val="22"/>
          <w:szCs w:val="22"/>
          <w:lang w:val="en-GB"/>
        </w:rPr>
        <w:lastRenderedPageBreak/>
        <w:t xml:space="preserve">related to this </w:t>
      </w:r>
      <w:r w:rsidR="001F46FA">
        <w:rPr>
          <w:sz w:val="22"/>
          <w:szCs w:val="22"/>
          <w:lang w:val="en-GB"/>
        </w:rPr>
        <w:t>contract.</w:t>
      </w:r>
    </w:p>
    <w:p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F71CC3">
        <w:rPr>
          <w:sz w:val="22"/>
          <w:szCs w:val="22"/>
          <w:lang w:val="en-GB"/>
        </w:rPr>
        <w:t>three</w:t>
      </w:r>
      <w:r w:rsidR="00862885" w:rsidRPr="00F71CC3">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F71CC3" w:rsidRPr="00F71CC3" w:rsidRDefault="00F71CC3" w:rsidP="00F71CC3">
      <w:pPr>
        <w:pStyle w:val="Blockquote"/>
        <w:ind w:left="720" w:right="357" w:hanging="360"/>
        <w:jc w:val="both"/>
        <w:rPr>
          <w:sz w:val="22"/>
          <w:szCs w:val="22"/>
          <w:lang w:val="en-GB"/>
        </w:rPr>
      </w:pPr>
      <w:r w:rsidRPr="00F71CC3">
        <w:rPr>
          <w:sz w:val="22"/>
          <w:szCs w:val="22"/>
          <w:lang w:val="en-GB"/>
        </w:rPr>
        <w:t xml:space="preserve">Criteria for legal and natural persons:  </w:t>
      </w:r>
    </w:p>
    <w:p w:rsidR="00F71CC3" w:rsidRPr="00F71CC3" w:rsidRDefault="00F71CC3" w:rsidP="00F71CC3">
      <w:pPr>
        <w:pStyle w:val="Blockquote"/>
        <w:ind w:left="720" w:right="357" w:hanging="360"/>
        <w:jc w:val="both"/>
        <w:rPr>
          <w:sz w:val="22"/>
          <w:szCs w:val="22"/>
          <w:lang w:val="en-GB"/>
        </w:rPr>
      </w:pPr>
      <w:r w:rsidRPr="00F71CC3">
        <w:rPr>
          <w:sz w:val="22"/>
          <w:szCs w:val="22"/>
          <w:lang w:val="en-GB"/>
        </w:rPr>
        <w:t>•</w:t>
      </w:r>
      <w:r w:rsidRPr="00F71CC3">
        <w:rPr>
          <w:sz w:val="22"/>
          <w:szCs w:val="22"/>
          <w:lang w:val="en-GB"/>
        </w:rPr>
        <w:tab/>
        <w:t xml:space="preserve">the tenderer has provided services under at least 1 contract with a budget of at least </w:t>
      </w:r>
      <w:r w:rsidR="00396C49" w:rsidRPr="00396C49">
        <w:rPr>
          <w:sz w:val="22"/>
          <w:szCs w:val="22"/>
          <w:lang w:val="en-GB"/>
        </w:rPr>
        <w:t>of this contract in fields related to this contract, or equivalent</w:t>
      </w:r>
      <w:r w:rsidR="00396C49">
        <w:rPr>
          <w:sz w:val="22"/>
          <w:szCs w:val="22"/>
          <w:lang w:val="en-GB"/>
        </w:rPr>
        <w:t xml:space="preserve"> in the past three years</w:t>
      </w:r>
      <w:r w:rsidRPr="00F71CC3">
        <w:rPr>
          <w:sz w:val="22"/>
          <w:szCs w:val="22"/>
          <w:lang w:val="en-GB"/>
        </w:rPr>
        <w:t>.</w:t>
      </w:r>
    </w:p>
    <w:p w:rsidR="001D55F7" w:rsidRPr="00B33EE6" w:rsidRDefault="00A43E7A" w:rsidP="00F71CC3">
      <w:pPr>
        <w:pStyle w:val="Blockquote"/>
        <w:tabs>
          <w:tab w:val="left" w:pos="426"/>
        </w:tabs>
        <w:jc w:val="both"/>
        <w:rPr>
          <w:sz w:val="22"/>
          <w:szCs w:val="22"/>
          <w:lang w:val="en-GB"/>
        </w:rPr>
      </w:pPr>
      <w:r w:rsidRPr="00F71CC3">
        <w:rPr>
          <w:sz w:val="22"/>
          <w:szCs w:val="22"/>
          <w:lang w:val="en-GB"/>
        </w:rPr>
        <w:t xml:space="preserve">This means that the </w:t>
      </w:r>
      <w:r w:rsidR="00AB7F58" w:rsidRPr="00F71CC3">
        <w:rPr>
          <w:sz w:val="22"/>
          <w:szCs w:val="22"/>
          <w:lang w:val="en-GB"/>
        </w:rPr>
        <w:t>service contract</w:t>
      </w:r>
      <w:r w:rsidRPr="00F71CC3">
        <w:rPr>
          <w:sz w:val="22"/>
          <w:szCs w:val="22"/>
          <w:lang w:val="en-GB"/>
        </w:rPr>
        <w:t xml:space="preserve"> the </w:t>
      </w:r>
      <w:r w:rsidR="00994EA3" w:rsidRPr="00F71CC3">
        <w:rPr>
          <w:sz w:val="22"/>
          <w:szCs w:val="22"/>
          <w:lang w:val="en-GB"/>
        </w:rPr>
        <w:t>tenderer</w:t>
      </w:r>
      <w:r w:rsidRPr="00F71CC3">
        <w:rPr>
          <w:sz w:val="22"/>
          <w:szCs w:val="22"/>
          <w:lang w:val="en-GB"/>
        </w:rPr>
        <w:t xml:space="preserve"> refers to could have been started </w:t>
      </w:r>
      <w:r w:rsidR="00243849" w:rsidRPr="00F71CC3">
        <w:rPr>
          <w:sz w:val="22"/>
          <w:szCs w:val="22"/>
          <w:lang w:val="en-GB"/>
        </w:rPr>
        <w:t xml:space="preserve">or </w:t>
      </w:r>
      <w:r w:rsidRPr="00F71CC3">
        <w:rPr>
          <w:sz w:val="22"/>
          <w:szCs w:val="22"/>
          <w:lang w:val="en-GB"/>
        </w:rPr>
        <w:t xml:space="preserve">completed at any time during the indicated period but it does not necessarily have to be started and completed during that period, nor implemented during the entire period. </w:t>
      </w:r>
      <w:r w:rsidR="00C03AF5" w:rsidRPr="00F71CC3">
        <w:rPr>
          <w:sz w:val="22"/>
          <w:szCs w:val="22"/>
          <w:lang w:val="en-GB"/>
        </w:rPr>
        <w:t>T</w:t>
      </w:r>
      <w:r w:rsidR="00243849" w:rsidRPr="00F71CC3">
        <w:rPr>
          <w:sz w:val="22"/>
          <w:szCs w:val="22"/>
          <w:lang w:val="en-GB"/>
        </w:rPr>
        <w:t xml:space="preserve">enderers are allowed to refer either to </w:t>
      </w:r>
      <w:r w:rsidR="00E713DA" w:rsidRPr="00F71CC3">
        <w:rPr>
          <w:sz w:val="22"/>
          <w:szCs w:val="22"/>
          <w:lang w:val="en-GB"/>
        </w:rPr>
        <w:t>service contracts</w:t>
      </w:r>
      <w:r w:rsidR="00243849" w:rsidRPr="00F71CC3">
        <w:rPr>
          <w:sz w:val="22"/>
          <w:szCs w:val="22"/>
          <w:lang w:val="en-GB"/>
        </w:rPr>
        <w:t xml:space="preserve"> completed within the reference period (although started earlier) or to </w:t>
      </w:r>
      <w:r w:rsidR="00E713DA" w:rsidRPr="00F71CC3">
        <w:rPr>
          <w:sz w:val="22"/>
          <w:szCs w:val="22"/>
          <w:lang w:val="en-GB"/>
        </w:rPr>
        <w:t xml:space="preserve">service contracts </w:t>
      </w:r>
      <w:r w:rsidR="00243849" w:rsidRPr="00F71CC3">
        <w:rPr>
          <w:sz w:val="22"/>
          <w:szCs w:val="22"/>
          <w:lang w:val="en-GB"/>
        </w:rPr>
        <w:t xml:space="preserve">not yet completed. In the first case the </w:t>
      </w:r>
      <w:r w:rsidR="00D8773C" w:rsidRPr="00F71CC3">
        <w:rPr>
          <w:sz w:val="22"/>
          <w:szCs w:val="22"/>
          <w:lang w:val="en-GB"/>
        </w:rPr>
        <w:t>service contract</w:t>
      </w:r>
      <w:r w:rsidR="00243849" w:rsidRPr="00F71CC3">
        <w:rPr>
          <w:sz w:val="22"/>
          <w:szCs w:val="22"/>
          <w:lang w:val="en-GB"/>
        </w:rPr>
        <w:t xml:space="preserve"> will be considered in its whole if proper evidence of performance is provided (statement or certificate from the entity which awarded the contract, proof of final payment for services). In case of </w:t>
      </w:r>
      <w:r w:rsidR="00D8773C" w:rsidRPr="00F71CC3">
        <w:rPr>
          <w:sz w:val="22"/>
          <w:szCs w:val="22"/>
          <w:lang w:val="en-GB"/>
        </w:rPr>
        <w:t>service contract</w:t>
      </w:r>
      <w:r w:rsidR="00243849" w:rsidRPr="00F71CC3">
        <w:rPr>
          <w:sz w:val="22"/>
          <w:szCs w:val="22"/>
          <w:lang w:val="en-GB"/>
        </w:rPr>
        <w:t xml:space="preserve"> still on-going only the portion satisfactorily completed during the reference period </w:t>
      </w:r>
      <w:r w:rsidR="00813A48" w:rsidRPr="00F71CC3">
        <w:rPr>
          <w:sz w:val="22"/>
          <w:szCs w:val="22"/>
          <w:lang w:val="en-GB"/>
        </w:rPr>
        <w:t xml:space="preserve">although started earlier </w:t>
      </w:r>
      <w:r w:rsidR="00243849" w:rsidRPr="00F71CC3">
        <w:rPr>
          <w:sz w:val="22"/>
          <w:szCs w:val="22"/>
          <w:lang w:val="en-GB"/>
        </w:rPr>
        <w:t xml:space="preserve">will be taken into consideration. This portion will have to be supported by documentary evidence (similarly to </w:t>
      </w:r>
      <w:r w:rsidR="00D8773C" w:rsidRPr="00F71CC3">
        <w:rPr>
          <w:sz w:val="22"/>
          <w:szCs w:val="22"/>
          <w:lang w:val="en-GB"/>
        </w:rPr>
        <w:t>service contracts</w:t>
      </w:r>
      <w:r w:rsidR="00243849" w:rsidRPr="00F71CC3">
        <w:rPr>
          <w:sz w:val="22"/>
          <w:szCs w:val="22"/>
          <w:lang w:val="en-GB"/>
        </w:rPr>
        <w:t xml:space="preserve"> completed) also detailing its value.</w:t>
      </w:r>
      <w:r w:rsidR="00BE08EC" w:rsidRPr="00F71CC3">
        <w:rPr>
          <w:sz w:val="22"/>
          <w:szCs w:val="22"/>
          <w:lang w:val="en-GB"/>
        </w:rPr>
        <w:t xml:space="preserve"> </w:t>
      </w:r>
      <w:r w:rsidR="001D55F7" w:rsidRPr="00F71CC3">
        <w:rPr>
          <w:sz w:val="22"/>
          <w:szCs w:val="22"/>
          <w:lang w:val="en-GB"/>
        </w:rPr>
        <w:t xml:space="preserve">If a tenderer has implemented the </w:t>
      </w:r>
      <w:r w:rsidR="00D8773C" w:rsidRPr="00F71CC3">
        <w:rPr>
          <w:sz w:val="22"/>
          <w:szCs w:val="22"/>
          <w:lang w:val="en-GB"/>
        </w:rPr>
        <w:t>service contract</w:t>
      </w:r>
      <w:r w:rsidR="001D55F7" w:rsidRPr="00F71CC3">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DC0202">
      <w:pPr>
        <w:rPr>
          <w:sz w:val="22"/>
          <w:szCs w:val="22"/>
          <w:lang w:val="en-GB"/>
        </w:rPr>
      </w:pPr>
      <w:r>
        <w:rPr>
          <w:noProof/>
          <w:snapToGrid/>
          <w:sz w:val="22"/>
          <w:szCs w:val="22"/>
          <w:lang w:val="en-GB"/>
        </w:rPr>
        <w:pict>
          <v:line id="Line 7" o:spid="_x0000_s1027" style="position:absolute;z-index:251659264;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AAQIAAPMDAAAOAAAAZHJzL2Uyb0RvYy54bWysU01vGjEQvVfqf7B8L7uQQNIVSw7Q9EJb&#10;JFL1PNjeXatej2UbFv59xw4g0tyq2pLlj5k3b+aN50/H3rCD8kGjrfl4VHKmrECpbVvzny/Pnx45&#10;CxGsBINW1fykAn9afPwwH1ylJtihkcozArGhGlzNuxhdVRRBdKqHMEKnLD026HuIdPRtIT0MhN6b&#10;YlKWs2JAL51HoUKg29XrI19k/KZRIv5omqAiMzUnbjGvPq+7tBaLOVStB9dpcaYB/8CiB20p6BVq&#10;BRHY3ut3UL0WHgM2cSSwL7BptFA5B8pmXP6VzbYDp3IuVJzgrmUK/w9WfD9sPNOStOPMQk8SrbVV&#10;7CFVZnChIoOl3fiUmzjarVuj+B2YxWUHtlWZ4cvJkds4eRRvXNIhOMLfDd9Qkg3sI+YyHRvfJ0gq&#10;ADtmNU5XNdQxMkGX08/3d7OSRBP0NrubZnyoLq7Oh/hVYc/SpuaGWGdoOKxDTFSgupikSBaftTFZ&#10;bmPZUPMJjWn2CGi0TK/JLvh2tzSeHYA6ZnWf5jnwGzOPeyszWqdAfjnvI2jzuqfoxiY8lZuQKOV0&#10;91H5bScHJnUiPZ48pASlpo4cz6ifaXAGpqW/JKLnzGP8pWOXy5wK9I7hY5nmmSFe4HP2N5GzLEmJ&#10;V013KE8bf5GLOivbn39Bat3bM+1v/+riD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nsiPwAECAADzAwAADgAAAAAAAAAA&#10;AAAAAAAuAgAAZHJzL2Uyb0RvYy54bWxQSwECLQAUAAYACAAAACEA0C9UHdwAAAAGAQAADwAAAAAA&#10;AAAAAAAAAABbBAAAZHJzL2Rvd25yZXYueG1sUEsFBgAAAAAEAAQA8wAAAGQFAAAAAA==&#10;" o:allowincell="f" strokecolor="#d4d4d4" strokeweight="1.75pt">
            <v:shadow on="t"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BE1E6F">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available from the following</w:t>
      </w:r>
      <w:r w:rsidR="00F71CC3">
        <w:rPr>
          <w:sz w:val="22"/>
          <w:szCs w:val="22"/>
          <w:lang w:val="en-GB"/>
        </w:rPr>
        <w:t xml:space="preserve">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54047A" w:rsidRPr="00B53808">
          <w:rPr>
            <w:rStyle w:val="Hyperlink"/>
            <w:sz w:val="22"/>
            <w:szCs w:val="22"/>
            <w:lang w:val="en-GB"/>
          </w:rPr>
          <w:t xml:space="preserve">https://www.mf.ukim.edu.mk/mk/strass </w:t>
        </w:r>
      </w:hyperlink>
      <w:r w:rsidR="00F71CC3">
        <w:rPr>
          <w:sz w:val="22"/>
          <w:szCs w:val="22"/>
          <w:lang w:val="en-GB"/>
        </w:rPr>
        <w:t xml:space="preserve"> or </w:t>
      </w:r>
      <w:hyperlink r:id="rId9" w:history="1">
        <w:r w:rsidR="00F71CC3" w:rsidRPr="007B53AC">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DC0202" w:rsidP="004D5EDB">
      <w:pPr>
        <w:pStyle w:val="Blockquote"/>
        <w:jc w:val="both"/>
        <w:rPr>
          <w:sz w:val="22"/>
          <w:szCs w:val="22"/>
          <w:lang w:val="en-GB"/>
        </w:rPr>
      </w:pPr>
      <w:hyperlink r:id="rId10"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B35484" w:rsidRPr="00B35484" w:rsidRDefault="00B35484" w:rsidP="00B35484">
      <w:pPr>
        <w:ind w:left="349" w:hanging="349"/>
        <w:jc w:val="both"/>
        <w:outlineLvl w:val="0"/>
        <w:rPr>
          <w:rStyle w:val="Strong"/>
          <w:b w:val="0"/>
          <w:bCs/>
          <w:sz w:val="22"/>
          <w:szCs w:val="22"/>
          <w:lang w:val="en-GB"/>
        </w:rPr>
      </w:pPr>
      <w:r>
        <w:rPr>
          <w:rStyle w:val="Strong"/>
          <w:sz w:val="22"/>
          <w:szCs w:val="22"/>
          <w:lang w:val="en-GB"/>
        </w:rPr>
        <w:t xml:space="preserve">      </w:t>
      </w:r>
      <w:r w:rsidRPr="00B35484">
        <w:rPr>
          <w:rStyle w:val="Strong"/>
          <w:b w:val="0"/>
          <w:bCs/>
          <w:sz w:val="22"/>
          <w:szCs w:val="22"/>
          <w:lang w:val="en-GB"/>
        </w:rPr>
        <w:t>Regulation  (EU) No236/2014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p>
    <w:p w:rsidR="00B35484" w:rsidRPr="00B35484" w:rsidRDefault="00B35484" w:rsidP="00B35484">
      <w:pPr>
        <w:ind w:left="349" w:hanging="349"/>
        <w:jc w:val="both"/>
        <w:outlineLvl w:val="0"/>
        <w:rPr>
          <w:rStyle w:val="Strong"/>
          <w:b w:val="0"/>
          <w:bCs/>
          <w:sz w:val="22"/>
          <w:szCs w:val="22"/>
          <w:lang w:val="en-GB"/>
        </w:rPr>
      </w:pPr>
      <w:r w:rsidRPr="00B35484">
        <w:rPr>
          <w:rStyle w:val="Strong"/>
          <w:b w:val="0"/>
          <w:bCs/>
          <w:sz w:val="22"/>
          <w:szCs w:val="22"/>
          <w:lang w:val="en-GB"/>
        </w:rPr>
        <w:t xml:space="preserve">      Chapter 3 of Title II of Part Two of Delegated Regulation (EU) No 1268/2012 on the rules of application of Regulation (EU, Euratom) No 966/2012 of the European Parliament and of the Council on the financial rules applicable to the general budget of the Union. In accordance with Art. 45 (1) of Commission Implementing Regulation (EU) No 447/2014.</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F412E" w:rsidRDefault="003A4B86" w:rsidP="00BE5F29">
      <w:pPr>
        <w:widowControl/>
        <w:snapToGrid w:val="0"/>
        <w:spacing w:after="0"/>
        <w:ind w:left="360" w:right="360"/>
        <w:jc w:val="both"/>
        <w:rPr>
          <w:lang w:val="en-GB"/>
        </w:rPr>
      </w:pPr>
      <w:r w:rsidRPr="003A4B86">
        <w:rPr>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w:t>
      </w:r>
      <w:r w:rsidRPr="003A4B86">
        <w:rPr>
          <w:lang w:val="en-GB"/>
        </w:rPr>
        <w:lastRenderedPageBreak/>
        <w:t>InforEuro exchange rate</w:t>
      </w:r>
      <w:r w:rsidR="00AF412E">
        <w:rPr>
          <w:lang w:val="en-GB"/>
        </w:rPr>
        <w:t xml:space="preserve">, which can be found at the following address: </w:t>
      </w:r>
      <w:hyperlink r:id="rId11" w:history="1">
        <w:r w:rsidR="00AF412E" w:rsidRPr="00AB6029">
          <w:rPr>
            <w:rStyle w:val="Hyperlink"/>
            <w:lang w:val="en-GB"/>
          </w:rPr>
          <w:t>http://ec.europa.eu/budget/graphs/inforeuro.html</w:t>
        </w:r>
      </w:hyperlink>
      <w:r w:rsidR="00AF412E">
        <w:rPr>
          <w:lang w:val="en-GB"/>
        </w:rPr>
        <w:t>.</w:t>
      </w:r>
    </w:p>
    <w:p w:rsidR="00AF412E" w:rsidRDefault="00AF412E"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264" w:rsidRDefault="00D44264">
      <w:r>
        <w:separator/>
      </w:r>
    </w:p>
  </w:endnote>
  <w:endnote w:type="continuationSeparator" w:id="0">
    <w:p w:rsidR="00D44264" w:rsidRDefault="00D442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DC0202"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DC0202" w:rsidRPr="00B33EE6">
      <w:rPr>
        <w:rStyle w:val="PageNumber"/>
        <w:sz w:val="18"/>
        <w:szCs w:val="18"/>
        <w:lang w:val="en-GB"/>
      </w:rPr>
      <w:fldChar w:fldCharType="separate"/>
    </w:r>
    <w:r w:rsidR="000F3104">
      <w:rPr>
        <w:rStyle w:val="PageNumber"/>
        <w:noProof/>
        <w:sz w:val="18"/>
        <w:szCs w:val="18"/>
        <w:lang w:val="en-GB"/>
      </w:rPr>
      <w:t>6</w:t>
    </w:r>
    <w:r w:rsidR="00DC0202"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0F3104" w:rsidRPr="000F3104">
        <w:rPr>
          <w:rStyle w:val="PageNumber"/>
          <w:noProof/>
          <w:sz w:val="18"/>
          <w:szCs w:val="18"/>
          <w:lang w:val="en-GB"/>
        </w:rPr>
        <w:t>6</w:t>
      </w:r>
    </w:fldSimple>
  </w:p>
  <w:p w:rsidR="00EF0A8C" w:rsidRPr="00B33EE6" w:rsidRDefault="00DC0202"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264" w:rsidRDefault="00D44264">
      <w:r>
        <w:separator/>
      </w:r>
    </w:p>
  </w:footnote>
  <w:footnote w:type="continuationSeparator" w:id="0">
    <w:p w:rsidR="00D44264" w:rsidRDefault="00D442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16A01CE4"/>
    <w:multiLevelType w:val="hybridMultilevel"/>
    <w:tmpl w:val="FE025186"/>
    <w:lvl w:ilvl="0" w:tplc="C3E495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22D91FEE"/>
    <w:multiLevelType w:val="hybridMultilevel"/>
    <w:tmpl w:val="411A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8"/>
  </w:num>
  <w:num w:numId="38">
    <w:abstractNumId w:val="40"/>
  </w:num>
  <w:num w:numId="39">
    <w:abstractNumId w:val="44"/>
  </w:num>
  <w:num w:numId="40">
    <w:abstractNumId w:val="45"/>
  </w:num>
  <w:num w:numId="41">
    <w:abstractNumId w:val="41"/>
  </w:num>
  <w:num w:numId="42">
    <w:abstractNumId w:val="43"/>
  </w:num>
  <w:num w:numId="43">
    <w:abstractNumId w:val="39"/>
  </w:num>
  <w:num w:numId="44">
    <w:abstractNumId w:val="37"/>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1"/>
    <w:footnote w:id="0"/>
  </w:footnotePr>
  <w:endnotePr>
    <w:endnote w:id="-1"/>
    <w:endnote w:id="0"/>
  </w:endnotePr>
  <w:compat>
    <w:doNotUseHTMLParagraphAutoSpacing/>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2558"/>
    <w:rsid w:val="000543B1"/>
    <w:rsid w:val="00063FB5"/>
    <w:rsid w:val="00087A72"/>
    <w:rsid w:val="00095030"/>
    <w:rsid w:val="000A0D57"/>
    <w:rsid w:val="000A3758"/>
    <w:rsid w:val="000B693E"/>
    <w:rsid w:val="000B7C91"/>
    <w:rsid w:val="000C1101"/>
    <w:rsid w:val="000C1522"/>
    <w:rsid w:val="000C290F"/>
    <w:rsid w:val="000C3F08"/>
    <w:rsid w:val="000D1732"/>
    <w:rsid w:val="000D3EBF"/>
    <w:rsid w:val="000E4709"/>
    <w:rsid w:val="000F0F6C"/>
    <w:rsid w:val="000F1340"/>
    <w:rsid w:val="000F3104"/>
    <w:rsid w:val="000F5DEF"/>
    <w:rsid w:val="0010162C"/>
    <w:rsid w:val="00105302"/>
    <w:rsid w:val="00116EE4"/>
    <w:rsid w:val="00132B2B"/>
    <w:rsid w:val="001416CE"/>
    <w:rsid w:val="0014405E"/>
    <w:rsid w:val="00145CFA"/>
    <w:rsid w:val="00150687"/>
    <w:rsid w:val="001661F7"/>
    <w:rsid w:val="00171F2E"/>
    <w:rsid w:val="001748C0"/>
    <w:rsid w:val="00180D47"/>
    <w:rsid w:val="001903F3"/>
    <w:rsid w:val="00194515"/>
    <w:rsid w:val="001951FE"/>
    <w:rsid w:val="001A4051"/>
    <w:rsid w:val="001A59BB"/>
    <w:rsid w:val="001B2571"/>
    <w:rsid w:val="001C21A2"/>
    <w:rsid w:val="001C64F1"/>
    <w:rsid w:val="001D19A6"/>
    <w:rsid w:val="001D55F7"/>
    <w:rsid w:val="001E50A2"/>
    <w:rsid w:val="001F0839"/>
    <w:rsid w:val="001F1546"/>
    <w:rsid w:val="001F46FA"/>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154FF"/>
    <w:rsid w:val="00322D52"/>
    <w:rsid w:val="003232ED"/>
    <w:rsid w:val="00323BDD"/>
    <w:rsid w:val="003262FC"/>
    <w:rsid w:val="00330261"/>
    <w:rsid w:val="003378F6"/>
    <w:rsid w:val="00342E7F"/>
    <w:rsid w:val="00347673"/>
    <w:rsid w:val="003574F5"/>
    <w:rsid w:val="00357E25"/>
    <w:rsid w:val="00361B1D"/>
    <w:rsid w:val="00362824"/>
    <w:rsid w:val="00364564"/>
    <w:rsid w:val="003717BC"/>
    <w:rsid w:val="003861D9"/>
    <w:rsid w:val="0038633F"/>
    <w:rsid w:val="00386E96"/>
    <w:rsid w:val="0038796E"/>
    <w:rsid w:val="0039147E"/>
    <w:rsid w:val="0039347D"/>
    <w:rsid w:val="003947E7"/>
    <w:rsid w:val="00394F0D"/>
    <w:rsid w:val="00396C49"/>
    <w:rsid w:val="00397073"/>
    <w:rsid w:val="003A4357"/>
    <w:rsid w:val="003A4B86"/>
    <w:rsid w:val="003B1B35"/>
    <w:rsid w:val="003C1515"/>
    <w:rsid w:val="003C665D"/>
    <w:rsid w:val="003D16FB"/>
    <w:rsid w:val="003D56E4"/>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A7544"/>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047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38B0"/>
    <w:rsid w:val="005B4F80"/>
    <w:rsid w:val="005B5E3C"/>
    <w:rsid w:val="005C1903"/>
    <w:rsid w:val="005D41DD"/>
    <w:rsid w:val="005F776D"/>
    <w:rsid w:val="0060359F"/>
    <w:rsid w:val="0061336A"/>
    <w:rsid w:val="006309DE"/>
    <w:rsid w:val="00632BDC"/>
    <w:rsid w:val="00634309"/>
    <w:rsid w:val="0064390B"/>
    <w:rsid w:val="006561AD"/>
    <w:rsid w:val="00656F57"/>
    <w:rsid w:val="00663C6D"/>
    <w:rsid w:val="006714ED"/>
    <w:rsid w:val="006738B9"/>
    <w:rsid w:val="00674F9C"/>
    <w:rsid w:val="006751D2"/>
    <w:rsid w:val="006770CA"/>
    <w:rsid w:val="00686C3A"/>
    <w:rsid w:val="00695165"/>
    <w:rsid w:val="00697F82"/>
    <w:rsid w:val="006A0598"/>
    <w:rsid w:val="006A61E1"/>
    <w:rsid w:val="006A66DA"/>
    <w:rsid w:val="006A7394"/>
    <w:rsid w:val="006B2EDA"/>
    <w:rsid w:val="006B59B9"/>
    <w:rsid w:val="006B6988"/>
    <w:rsid w:val="006C0EB6"/>
    <w:rsid w:val="006C0F37"/>
    <w:rsid w:val="006D330F"/>
    <w:rsid w:val="006D6080"/>
    <w:rsid w:val="006E3377"/>
    <w:rsid w:val="006E625F"/>
    <w:rsid w:val="006F5FD0"/>
    <w:rsid w:val="006F7885"/>
    <w:rsid w:val="007021D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67116"/>
    <w:rsid w:val="00770822"/>
    <w:rsid w:val="007713EC"/>
    <w:rsid w:val="00771F97"/>
    <w:rsid w:val="007727F3"/>
    <w:rsid w:val="007874C8"/>
    <w:rsid w:val="00794A92"/>
    <w:rsid w:val="00796976"/>
    <w:rsid w:val="00796CC5"/>
    <w:rsid w:val="007A04AC"/>
    <w:rsid w:val="007A4037"/>
    <w:rsid w:val="007A4351"/>
    <w:rsid w:val="007C352C"/>
    <w:rsid w:val="007C3A83"/>
    <w:rsid w:val="007D51F2"/>
    <w:rsid w:val="007D6292"/>
    <w:rsid w:val="007D761E"/>
    <w:rsid w:val="007F006A"/>
    <w:rsid w:val="007F095B"/>
    <w:rsid w:val="007F0A90"/>
    <w:rsid w:val="007F26E3"/>
    <w:rsid w:val="007F5383"/>
    <w:rsid w:val="007F6AA9"/>
    <w:rsid w:val="008006B4"/>
    <w:rsid w:val="00800827"/>
    <w:rsid w:val="00810582"/>
    <w:rsid w:val="00813A48"/>
    <w:rsid w:val="008152EF"/>
    <w:rsid w:val="008162F6"/>
    <w:rsid w:val="00817895"/>
    <w:rsid w:val="00817B4A"/>
    <w:rsid w:val="00824A14"/>
    <w:rsid w:val="008272C0"/>
    <w:rsid w:val="008323D3"/>
    <w:rsid w:val="008351FF"/>
    <w:rsid w:val="00862885"/>
    <w:rsid w:val="0087086B"/>
    <w:rsid w:val="00881C2D"/>
    <w:rsid w:val="008931A4"/>
    <w:rsid w:val="00894E29"/>
    <w:rsid w:val="0089693D"/>
    <w:rsid w:val="008A1514"/>
    <w:rsid w:val="008A7420"/>
    <w:rsid w:val="008B0830"/>
    <w:rsid w:val="008B0840"/>
    <w:rsid w:val="008B77CD"/>
    <w:rsid w:val="008C3178"/>
    <w:rsid w:val="008C68A0"/>
    <w:rsid w:val="008D1243"/>
    <w:rsid w:val="008D3E45"/>
    <w:rsid w:val="008E1A08"/>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83DE6"/>
    <w:rsid w:val="00991002"/>
    <w:rsid w:val="00994EA3"/>
    <w:rsid w:val="009A38DE"/>
    <w:rsid w:val="009B06B5"/>
    <w:rsid w:val="009B69BE"/>
    <w:rsid w:val="009E4931"/>
    <w:rsid w:val="009E5BC1"/>
    <w:rsid w:val="009F128B"/>
    <w:rsid w:val="009F5FB4"/>
    <w:rsid w:val="00A00BD5"/>
    <w:rsid w:val="00A01662"/>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46CC"/>
    <w:rsid w:val="00A779FE"/>
    <w:rsid w:val="00A77B07"/>
    <w:rsid w:val="00A84E04"/>
    <w:rsid w:val="00A85E8A"/>
    <w:rsid w:val="00A94ED6"/>
    <w:rsid w:val="00A97B08"/>
    <w:rsid w:val="00AA5256"/>
    <w:rsid w:val="00AA7F22"/>
    <w:rsid w:val="00AB7F58"/>
    <w:rsid w:val="00AC0D0C"/>
    <w:rsid w:val="00AC4530"/>
    <w:rsid w:val="00AC725D"/>
    <w:rsid w:val="00AC7E0D"/>
    <w:rsid w:val="00AD1660"/>
    <w:rsid w:val="00AD1E4D"/>
    <w:rsid w:val="00AD481D"/>
    <w:rsid w:val="00AD78AA"/>
    <w:rsid w:val="00AE127E"/>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35484"/>
    <w:rsid w:val="00B42F0D"/>
    <w:rsid w:val="00B46840"/>
    <w:rsid w:val="00B47D72"/>
    <w:rsid w:val="00B503CB"/>
    <w:rsid w:val="00B50F8D"/>
    <w:rsid w:val="00B53A0B"/>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1E6F"/>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48E"/>
    <w:rsid w:val="00CC0A41"/>
    <w:rsid w:val="00CC3BA0"/>
    <w:rsid w:val="00CC3C97"/>
    <w:rsid w:val="00CC48C9"/>
    <w:rsid w:val="00CD765A"/>
    <w:rsid w:val="00CE1E0C"/>
    <w:rsid w:val="00CE49A1"/>
    <w:rsid w:val="00CF759C"/>
    <w:rsid w:val="00D00216"/>
    <w:rsid w:val="00D011CD"/>
    <w:rsid w:val="00D14A9D"/>
    <w:rsid w:val="00D15767"/>
    <w:rsid w:val="00D1745B"/>
    <w:rsid w:val="00D17A30"/>
    <w:rsid w:val="00D20D3A"/>
    <w:rsid w:val="00D225CC"/>
    <w:rsid w:val="00D22682"/>
    <w:rsid w:val="00D240C3"/>
    <w:rsid w:val="00D2786B"/>
    <w:rsid w:val="00D32849"/>
    <w:rsid w:val="00D33DD9"/>
    <w:rsid w:val="00D372CC"/>
    <w:rsid w:val="00D434A7"/>
    <w:rsid w:val="00D44264"/>
    <w:rsid w:val="00D46724"/>
    <w:rsid w:val="00D517A4"/>
    <w:rsid w:val="00D51C7E"/>
    <w:rsid w:val="00D51D04"/>
    <w:rsid w:val="00D549F4"/>
    <w:rsid w:val="00D64101"/>
    <w:rsid w:val="00D769CF"/>
    <w:rsid w:val="00D8773C"/>
    <w:rsid w:val="00D90657"/>
    <w:rsid w:val="00D93082"/>
    <w:rsid w:val="00DA0ABA"/>
    <w:rsid w:val="00DB3A87"/>
    <w:rsid w:val="00DC0202"/>
    <w:rsid w:val="00DC0253"/>
    <w:rsid w:val="00DC2606"/>
    <w:rsid w:val="00DC4F70"/>
    <w:rsid w:val="00DC753D"/>
    <w:rsid w:val="00DD0CD4"/>
    <w:rsid w:val="00DE5F8C"/>
    <w:rsid w:val="00DF04F0"/>
    <w:rsid w:val="00E147D3"/>
    <w:rsid w:val="00E1782A"/>
    <w:rsid w:val="00E20E60"/>
    <w:rsid w:val="00E21BC3"/>
    <w:rsid w:val="00E23A94"/>
    <w:rsid w:val="00E30BB5"/>
    <w:rsid w:val="00E31447"/>
    <w:rsid w:val="00E422A2"/>
    <w:rsid w:val="00E47945"/>
    <w:rsid w:val="00E5220B"/>
    <w:rsid w:val="00E6172B"/>
    <w:rsid w:val="00E63365"/>
    <w:rsid w:val="00E66A55"/>
    <w:rsid w:val="00E713DA"/>
    <w:rsid w:val="00E813B7"/>
    <w:rsid w:val="00E82874"/>
    <w:rsid w:val="00E845AC"/>
    <w:rsid w:val="00E867FC"/>
    <w:rsid w:val="00E9047D"/>
    <w:rsid w:val="00EA24A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36088"/>
    <w:rsid w:val="00F46873"/>
    <w:rsid w:val="00F4786D"/>
    <w:rsid w:val="00F504CC"/>
    <w:rsid w:val="00F50E8B"/>
    <w:rsid w:val="00F60220"/>
    <w:rsid w:val="00F71CC3"/>
    <w:rsid w:val="00F77C8A"/>
    <w:rsid w:val="00F816C7"/>
    <w:rsid w:val="00F9055E"/>
    <w:rsid w:val="00F91683"/>
    <w:rsid w:val="00F95350"/>
    <w:rsid w:val="00FA17FC"/>
    <w:rsid w:val="00FB17AC"/>
    <w:rsid w:val="00FB76A9"/>
    <w:rsid w:val="00FC622D"/>
    <w:rsid w:val="00FD10D2"/>
    <w:rsid w:val="00FD7C42"/>
    <w:rsid w:val="00FE4D9A"/>
    <w:rsid w:val="00FE4E4B"/>
    <w:rsid w:val="00FE62A5"/>
    <w:rsid w:val="00FE6A9C"/>
    <w:rsid w:val="00FE6CB8"/>
    <w:rsid w:val="00FF187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351"/>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7A4351"/>
    <w:pPr>
      <w:spacing w:before="0" w:after="0"/>
    </w:pPr>
  </w:style>
  <w:style w:type="paragraph" w:customStyle="1" w:styleId="DefinitionList">
    <w:name w:val="Definition List"/>
    <w:basedOn w:val="Normal"/>
    <w:next w:val="DefinitionTerm"/>
    <w:rsid w:val="007A4351"/>
    <w:pPr>
      <w:spacing w:before="0" w:after="0"/>
      <w:ind w:left="360"/>
    </w:pPr>
  </w:style>
  <w:style w:type="character" w:customStyle="1" w:styleId="Definition">
    <w:name w:val="Definition"/>
    <w:rsid w:val="007A4351"/>
    <w:rPr>
      <w:i/>
    </w:rPr>
  </w:style>
  <w:style w:type="paragraph" w:customStyle="1" w:styleId="H1">
    <w:name w:val="H1"/>
    <w:basedOn w:val="Normal"/>
    <w:next w:val="Normal"/>
    <w:rsid w:val="007A4351"/>
    <w:pPr>
      <w:keepNext/>
      <w:outlineLvl w:val="1"/>
    </w:pPr>
    <w:rPr>
      <w:b/>
      <w:kern w:val="36"/>
      <w:sz w:val="48"/>
    </w:rPr>
  </w:style>
  <w:style w:type="paragraph" w:customStyle="1" w:styleId="H2">
    <w:name w:val="H2"/>
    <w:basedOn w:val="Normal"/>
    <w:next w:val="Normal"/>
    <w:rsid w:val="007A4351"/>
    <w:pPr>
      <w:keepNext/>
      <w:outlineLvl w:val="2"/>
    </w:pPr>
    <w:rPr>
      <w:b/>
      <w:sz w:val="36"/>
    </w:rPr>
  </w:style>
  <w:style w:type="paragraph" w:customStyle="1" w:styleId="H3">
    <w:name w:val="H3"/>
    <w:basedOn w:val="Normal"/>
    <w:next w:val="Normal"/>
    <w:rsid w:val="007A4351"/>
    <w:pPr>
      <w:keepNext/>
      <w:outlineLvl w:val="3"/>
    </w:pPr>
    <w:rPr>
      <w:b/>
      <w:sz w:val="28"/>
    </w:rPr>
  </w:style>
  <w:style w:type="paragraph" w:customStyle="1" w:styleId="H4">
    <w:name w:val="H4"/>
    <w:basedOn w:val="Normal"/>
    <w:next w:val="Normal"/>
    <w:rsid w:val="007A4351"/>
    <w:pPr>
      <w:keepNext/>
      <w:outlineLvl w:val="4"/>
    </w:pPr>
    <w:rPr>
      <w:b/>
    </w:rPr>
  </w:style>
  <w:style w:type="paragraph" w:customStyle="1" w:styleId="H5">
    <w:name w:val="H5"/>
    <w:basedOn w:val="Normal"/>
    <w:next w:val="Normal"/>
    <w:rsid w:val="007A4351"/>
    <w:pPr>
      <w:keepNext/>
      <w:outlineLvl w:val="5"/>
    </w:pPr>
    <w:rPr>
      <w:b/>
      <w:sz w:val="20"/>
    </w:rPr>
  </w:style>
  <w:style w:type="paragraph" w:customStyle="1" w:styleId="H6">
    <w:name w:val="H6"/>
    <w:basedOn w:val="Normal"/>
    <w:next w:val="Normal"/>
    <w:rsid w:val="007A4351"/>
    <w:pPr>
      <w:keepNext/>
      <w:outlineLvl w:val="6"/>
    </w:pPr>
    <w:rPr>
      <w:b/>
      <w:sz w:val="16"/>
    </w:rPr>
  </w:style>
  <w:style w:type="paragraph" w:customStyle="1" w:styleId="Address">
    <w:name w:val="Address"/>
    <w:basedOn w:val="Normal"/>
    <w:next w:val="Normal"/>
    <w:rsid w:val="007A4351"/>
    <w:pPr>
      <w:spacing w:before="0" w:after="0"/>
    </w:pPr>
    <w:rPr>
      <w:i/>
    </w:rPr>
  </w:style>
  <w:style w:type="paragraph" w:customStyle="1" w:styleId="Blockquote">
    <w:name w:val="Blockquote"/>
    <w:basedOn w:val="Normal"/>
    <w:rsid w:val="007A4351"/>
    <w:pPr>
      <w:ind w:left="360" w:right="360"/>
    </w:pPr>
  </w:style>
  <w:style w:type="character" w:customStyle="1" w:styleId="CITE">
    <w:name w:val="CITE"/>
    <w:rsid w:val="007A4351"/>
    <w:rPr>
      <w:i/>
    </w:rPr>
  </w:style>
  <w:style w:type="character" w:customStyle="1" w:styleId="CODE">
    <w:name w:val="CODE"/>
    <w:rsid w:val="007A4351"/>
    <w:rPr>
      <w:rFonts w:ascii="Courier New" w:hAnsi="Courier New"/>
      <w:sz w:val="20"/>
    </w:rPr>
  </w:style>
  <w:style w:type="character" w:styleId="Emphasis">
    <w:name w:val="Emphasis"/>
    <w:qFormat/>
    <w:rsid w:val="007A4351"/>
    <w:rPr>
      <w:i/>
    </w:rPr>
  </w:style>
  <w:style w:type="character" w:styleId="Hyperlink">
    <w:name w:val="Hyperlink"/>
    <w:rsid w:val="007A4351"/>
    <w:rPr>
      <w:color w:val="0000FF"/>
      <w:u w:val="single"/>
    </w:rPr>
  </w:style>
  <w:style w:type="character" w:styleId="FollowedHyperlink">
    <w:name w:val="FollowedHyperlink"/>
    <w:rsid w:val="007A4351"/>
    <w:rPr>
      <w:color w:val="800080"/>
      <w:u w:val="single"/>
    </w:rPr>
  </w:style>
  <w:style w:type="character" w:customStyle="1" w:styleId="Keyboard">
    <w:name w:val="Keyboard"/>
    <w:rsid w:val="007A4351"/>
    <w:rPr>
      <w:rFonts w:ascii="Courier New" w:hAnsi="Courier New"/>
      <w:b/>
      <w:sz w:val="20"/>
    </w:rPr>
  </w:style>
  <w:style w:type="paragraph" w:customStyle="1" w:styleId="Preformatted">
    <w:name w:val="Preformatted"/>
    <w:basedOn w:val="Normal"/>
    <w:rsid w:val="007A435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7A4351"/>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7A4351"/>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7A4351"/>
    <w:rPr>
      <w:rFonts w:ascii="Courier New" w:hAnsi="Courier New"/>
    </w:rPr>
  </w:style>
  <w:style w:type="character" w:styleId="Strong">
    <w:name w:val="Strong"/>
    <w:qFormat/>
    <w:rsid w:val="007A4351"/>
    <w:rPr>
      <w:b/>
    </w:rPr>
  </w:style>
  <w:style w:type="character" w:customStyle="1" w:styleId="Typewriter">
    <w:name w:val="Typewriter"/>
    <w:rsid w:val="007A4351"/>
    <w:rPr>
      <w:rFonts w:ascii="Courier New" w:hAnsi="Courier New"/>
      <w:sz w:val="20"/>
    </w:rPr>
  </w:style>
  <w:style w:type="character" w:customStyle="1" w:styleId="Variable">
    <w:name w:val="Variable"/>
    <w:rsid w:val="007A4351"/>
    <w:rPr>
      <w:i/>
    </w:rPr>
  </w:style>
  <w:style w:type="character" w:customStyle="1" w:styleId="HTMLMarkup">
    <w:name w:val="HTML Markup"/>
    <w:rsid w:val="007A4351"/>
    <w:rPr>
      <w:vanish/>
      <w:color w:val="FF0000"/>
    </w:rPr>
  </w:style>
  <w:style w:type="character" w:customStyle="1" w:styleId="Comment">
    <w:name w:val="Comment"/>
    <w:rsid w:val="007A4351"/>
    <w:rPr>
      <w:vanish/>
    </w:rPr>
  </w:style>
  <w:style w:type="paragraph" w:styleId="DocumentMap">
    <w:name w:val="Document Map"/>
    <w:basedOn w:val="Normal"/>
    <w:semiHidden/>
    <w:rsid w:val="007A4351"/>
    <w:pPr>
      <w:shd w:val="clear" w:color="auto" w:fill="000080"/>
    </w:pPr>
    <w:rPr>
      <w:rFonts w:ascii="Tahoma" w:hAnsi="Tahoma"/>
    </w:rPr>
  </w:style>
  <w:style w:type="paragraph" w:styleId="Header">
    <w:name w:val="header"/>
    <w:basedOn w:val="Normal"/>
    <w:rsid w:val="007A4351"/>
    <w:pPr>
      <w:tabs>
        <w:tab w:val="center" w:pos="4320"/>
        <w:tab w:val="right" w:pos="8640"/>
      </w:tabs>
    </w:pPr>
  </w:style>
  <w:style w:type="paragraph" w:styleId="Footer">
    <w:name w:val="footer"/>
    <w:basedOn w:val="Normal"/>
    <w:link w:val="FooterChar"/>
    <w:rsid w:val="007A4351"/>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rPr>
  </w:style>
  <w:style w:type="character" w:customStyle="1" w:styleId="SubtitleChar">
    <w:name w:val="Subtitle Char"/>
    <w:link w:val="Subtitle"/>
    <w:rsid w:val="00A36F1C"/>
    <w:rPr>
      <w:b/>
      <w:sz w:val="28"/>
      <w:lang w:val="fr-BE"/>
    </w:rPr>
  </w:style>
  <w:style w:type="character" w:customStyle="1" w:styleId="UnresolvedMention1">
    <w:name w:val="Unresolved Mention1"/>
    <w:uiPriority w:val="99"/>
    <w:semiHidden/>
    <w:unhideWhenUsed/>
    <w:rsid w:val="00F71CC3"/>
    <w:rPr>
      <w:color w:val="605E5C"/>
      <w:shd w:val="clear" w:color="auto" w:fill="E1DFDD"/>
    </w:rPr>
  </w:style>
  <w:style w:type="character" w:customStyle="1" w:styleId="UnresolvedMention2">
    <w:name w:val="Unresolved Mention2"/>
    <w:basedOn w:val="DefaultParagraphFont"/>
    <w:uiPriority w:val="99"/>
    <w:semiHidden/>
    <w:unhideWhenUsed/>
    <w:rsid w:val="0054047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f.ukim.edu.mk/mk/stras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group=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83A88-4AE8-4AD4-BC13-2915BEC67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1930</Words>
  <Characters>11005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12910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Dona</cp:lastModifiedBy>
  <cp:revision>4</cp:revision>
  <cp:lastPrinted>2016-05-31T08:36:00Z</cp:lastPrinted>
  <dcterms:created xsi:type="dcterms:W3CDTF">2020-01-12T18:11:00Z</dcterms:created>
  <dcterms:modified xsi:type="dcterms:W3CDTF">2020-01-24T12:00:00Z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